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page" w:horzAnchor="margin" w:leftFromText="180" w:rightFromText="180" w:tblpX="0" w:tblpY="285"/>
        <w:tblW w:w="974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3283"/>
        <w:gridCol w:w="1339"/>
        <w:gridCol w:w="2554"/>
        <w:gridCol w:w="1259"/>
        <w:gridCol w:w="1076"/>
        <w:gridCol w:w="236"/>
      </w:tblGrid>
      <w:tr>
        <w:trPr>
          <w:trHeight w:val="1796" w:hRule="atLeast"/>
        </w:trPr>
        <w:tc>
          <w:tcPr>
            <w:tcW w:w="9511" w:type="dxa"/>
            <w:gridSpan w:val="5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705" w:leader="none"/>
                <w:tab w:val="center" w:pos="4662" w:leader="none"/>
                <w:tab w:val="left" w:pos="7515" w:leader="none"/>
              </w:tabs>
              <w:rPr>
                <w:b/>
                <w:szCs w:val="28"/>
              </w:rPr>
            </w:pPr>
            <w:bookmarkStart w:id="0" w:name="_GoBack"/>
            <w:bookmarkEnd w:id="0"/>
            <w:r>
              <w:rPr>
                <w:b/>
                <w:szCs w:val="28"/>
              </w:rPr>
              <w:t xml:space="preserve">                            </w:t>
            </w:r>
            <w:r>
              <w:rPr>
                <w:b/>
                <w:szCs w:val="28"/>
              </w:rPr>
              <w:tab/>
            </w:r>
            <w:r>
              <w:rPr/>
              <w:drawing>
                <wp:inline distT="0" distB="0" distL="0" distR="0">
                  <wp:extent cx="533400" cy="60960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/>
              <w:t xml:space="preserve">  </w:t>
            </w:r>
            <w:r>
              <w:rPr>
                <w:b/>
                <w:szCs w:val="28"/>
              </w:rPr>
              <w:tab/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Администрация 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муниципального образования «Город Новоульяновск» 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Ульяновской области</w:t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9511" w:type="dxa"/>
            <w:gridSpan w:val="5"/>
            <w:tcBorders/>
            <w:shd w:color="auto" w:fill="auto" w:val="clear"/>
          </w:tcPr>
          <w:p>
            <w:pPr>
              <w:pStyle w:val="Normal"/>
              <w:jc w:val="end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9511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  О  С  Т  А  Н  О  В  Л  Е  Н  И  Е</w:t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9511" w:type="dxa"/>
            <w:gridSpan w:val="5"/>
            <w:tcBorders/>
            <w:shd w:color="auto" w:fill="auto" w:val="clea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9511" w:type="dxa"/>
            <w:gridSpan w:val="5"/>
            <w:tcBorders/>
            <w:shd w:color="auto" w:fill="auto" w:val="clear"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328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start"/>
              <w:rPr>
                <w:szCs w:val="28"/>
              </w:rPr>
            </w:pPr>
            <w:r>
              <w:rPr/>
            </w:r>
          </w:p>
        </w:tc>
        <w:tc>
          <w:tcPr>
            <w:tcW w:w="133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szCs w:val="28"/>
                <w:lang w:val="en-US"/>
              </w:rPr>
            </w:pPr>
            <w:r>
              <w:rPr/>
            </w:r>
          </w:p>
        </w:tc>
        <w:tc>
          <w:tcPr>
            <w:tcW w:w="2554" w:type="dxa"/>
            <w:vMerge w:val="restart"/>
            <w:tcBorders/>
            <w:shd w:color="auto" w:fill="auto" w:val="clear"/>
          </w:tcPr>
          <w:p>
            <w:pPr>
              <w:pStyle w:val="Normal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</w:r>
          </w:p>
        </w:tc>
        <w:tc>
          <w:tcPr>
            <w:tcW w:w="1259" w:type="dxa"/>
            <w:tcBorders/>
            <w:shd w:color="auto" w:fill="auto" w:val="clear"/>
            <w:vAlign w:val="bottom"/>
          </w:tcPr>
          <w:p>
            <w:pPr>
              <w:pStyle w:val="Normal"/>
              <w:jc w:val="end"/>
              <w:rPr>
                <w:szCs w:val="28"/>
                <w:lang w:val="en-US"/>
              </w:rPr>
            </w:pPr>
            <w:r>
              <w:rPr/>
            </w:r>
          </w:p>
        </w:tc>
        <w:tc>
          <w:tcPr>
            <w:tcW w:w="1312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360"/>
              <w:ind w:end="-315"/>
              <w:rPr>
                <w:szCs w:val="28"/>
              </w:rPr>
            </w:pPr>
            <w:r>
              <w:rPr/>
            </w:r>
          </w:p>
        </w:tc>
      </w:tr>
      <w:tr>
        <w:trPr>
          <w:trHeight w:val="180" w:hRule="atLeast"/>
        </w:trPr>
        <w:tc>
          <w:tcPr>
            <w:tcW w:w="4622" w:type="dxa"/>
            <w:gridSpan w:val="2"/>
            <w:vMerge w:val="restart"/>
            <w:tcBorders/>
            <w:shd w:color="auto" w:fill="auto" w:val="clear"/>
            <w:vAlign w:val="bottom"/>
          </w:tcPr>
          <w:p>
            <w:pPr>
              <w:pStyle w:val="Normal"/>
              <w:spacing w:before="120" w:after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554" w:type="dxa"/>
            <w:vMerge w:val="continue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120" w:after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</w:r>
          </w:p>
        </w:tc>
        <w:tc>
          <w:tcPr>
            <w:tcW w:w="1259" w:type="dxa"/>
            <w:tcBorders/>
            <w:shd w:color="auto" w:fill="auto" w:val="clear"/>
            <w:vAlign w:val="bottom"/>
          </w:tcPr>
          <w:p>
            <w:pPr>
              <w:pStyle w:val="Normal"/>
              <w:spacing w:before="120" w:after="0"/>
              <w:jc w:val="end"/>
              <w:rPr>
                <w:szCs w:val="28"/>
              </w:rPr>
            </w:pPr>
            <w:r>
              <w:rPr>
                <w:szCs w:val="28"/>
              </w:rPr>
              <w:t>Экз №</w:t>
            </w:r>
          </w:p>
        </w:tc>
        <w:tc>
          <w:tcPr>
            <w:tcW w:w="131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before="120" w:after="0"/>
              <w:ind w:end="-315"/>
              <w:rPr>
                <w:szCs w:val="28"/>
              </w:rPr>
            </w:pPr>
            <w:r>
              <w:rPr>
                <w:szCs w:val="28"/>
              </w:rPr>
            </w:r>
          </w:p>
        </w:tc>
      </w:tr>
      <w:tr>
        <w:trPr>
          <w:trHeight w:val="70" w:hRule="atLeast"/>
        </w:trPr>
        <w:tc>
          <w:tcPr>
            <w:tcW w:w="4622" w:type="dxa"/>
            <w:gridSpan w:val="2"/>
            <w:vMerge w:val="continue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</w:r>
          </w:p>
        </w:tc>
        <w:tc>
          <w:tcPr>
            <w:tcW w:w="2554" w:type="dxa"/>
            <w:vMerge w:val="continue"/>
            <w:tcBorders/>
            <w:shd w:color="auto" w:fill="auto" w:val="clear"/>
          </w:tcPr>
          <w:p>
            <w:pPr>
              <w:pStyle w:val="Normal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</w:r>
          </w:p>
        </w:tc>
        <w:tc>
          <w:tcPr>
            <w:tcW w:w="2335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36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1418" w:leader="none"/>
        </w:tabs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Администрации муниципального образования «Город Новоульяновск» Ульяновской области от 13 октября 2023 г. № 765-П </w:t>
      </w:r>
    </w:p>
    <w:p>
      <w:pPr>
        <w:pStyle w:val="Normal"/>
        <w:tabs>
          <w:tab w:val="clear" w:pos="708"/>
          <w:tab w:val="left" w:pos="1418" w:leader="none"/>
        </w:tabs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widowControl w:val="false"/>
        <w:spacing w:lineRule="auto" w:line="36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817" w:leader="none"/>
        </w:tabs>
        <w:spacing w:lineRule="auto" w:line="36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Внести в Положение об отраслевой системе оплаты труда работников Муниципального автономного учреждения дополнительного образования спортивная школа «Цементник», утверждённое постановлением Администрации муниципального образования «Город Новоульяновск» Ульяновской области от 13 октября 2023 г. № 765-П «Об утверждении Положения об отраслевой системе оплаты труда работников Муниципального автономного учреждения дополнительного образования спортивная школа «Цементник», следующие изменения:</w:t>
      </w:r>
    </w:p>
    <w:p>
      <w:pPr>
        <w:pStyle w:val="ConsPlusNormal"/>
        <w:tabs>
          <w:tab w:val="clear" w:pos="708"/>
          <w:tab w:val="left" w:pos="709" w:leader="none"/>
          <w:tab w:val="left" w:pos="851" w:leader="none"/>
          <w:tab w:val="left" w:pos="993" w:leader="none"/>
          <w:tab w:val="left" w:pos="1276" w:leader="none"/>
          <w:tab w:val="left" w:pos="1560" w:leader="none"/>
        </w:tabs>
        <w:spacing w:lineRule="auto" w:line="360"/>
        <w:ind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Cs/>
          <w:spacing w:val="2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bCs/>
          <w:spacing w:val="2"/>
          <w:sz w:val="28"/>
          <w:szCs w:val="28"/>
        </w:rPr>
        <w:t xml:space="preserve">1) </w:t>
      </w:r>
      <w:r>
        <w:rPr>
          <w:rFonts w:cs="Times New Roman" w:ascii="Times New Roman" w:hAnsi="Times New Roman"/>
          <w:bCs/>
          <w:color w:val="000000"/>
          <w:spacing w:val="2"/>
          <w:sz w:val="28"/>
          <w:szCs w:val="28"/>
          <w:lang w:bidi="ru-RU"/>
        </w:rPr>
        <w:t xml:space="preserve">Пункт 5.5 изложить в следующей редакции:  </w:t>
      </w:r>
    </w:p>
    <w:p>
      <w:pPr>
        <w:pStyle w:val="Normal"/>
        <w:tabs>
          <w:tab w:val="clear" w:pos="708"/>
          <w:tab w:val="left" w:pos="851" w:leader="none"/>
        </w:tabs>
        <w:spacing w:lineRule="auto" w: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</w:t>
      </w:r>
      <w:r>
        <w:rPr>
          <w:color w:val="000000"/>
          <w:sz w:val="28"/>
          <w:szCs w:val="28"/>
          <w:lang w:bidi="ru-RU"/>
        </w:rPr>
        <w:t xml:space="preserve">«5.5. </w:t>
      </w:r>
      <w:r>
        <w:rPr>
          <w:sz w:val="28"/>
          <w:szCs w:val="28"/>
        </w:rPr>
        <w:t>Выплаты компенсационного и стимулирующего характера устанавливаются руководителю учреждения, его заместителям, главному бухгалтеру учреждения, заместителям руководителя структурных подразделений учреждения в соответствии с перечнями видов выплат компенсационного и стимулирующего характера, предусмотренными настоящим Положением.</w:t>
      </w:r>
    </w:p>
    <w:p>
      <w:pPr>
        <w:pStyle w:val="Normal"/>
        <w:tabs>
          <w:tab w:val="clear" w:pos="708"/>
          <w:tab w:val="left" w:pos="851" w:leader="none"/>
        </w:tabs>
        <w:spacing w:lineRule="auto" w:line="360"/>
        <w:jc w:val="both"/>
        <w:rPr>
          <w:sz w:val="28"/>
          <w:szCs w:val="28"/>
        </w:rPr>
      </w:pPr>
      <w:r>
        <w:rPr>
          <w:bCs/>
          <w:color w:val="000000"/>
          <w:spacing w:val="2"/>
          <w:sz w:val="28"/>
          <w:szCs w:val="28"/>
          <w:lang w:bidi="ru-RU"/>
        </w:rPr>
        <w:t xml:space="preserve">     </w:t>
      </w:r>
      <w:r>
        <w:rPr>
          <w:bCs/>
          <w:spacing w:val="2"/>
          <w:sz w:val="28"/>
          <w:szCs w:val="28"/>
        </w:rPr>
        <w:t xml:space="preserve">Порядок установления выплаты к окладу (должностному окладу) за интенсивность и высокие результаты, качество руководителю Учреждения и условия его снижения определяется в соответствии с приложением № 10 к Положению.»  </w:t>
      </w:r>
      <w:r>
        <w:rPr>
          <w:bCs/>
          <w:color w:val="000000"/>
          <w:spacing w:val="2"/>
          <w:sz w:val="28"/>
          <w:szCs w:val="28"/>
          <w:lang w:bidi="ru-RU"/>
        </w:rPr>
        <w:t>в соответствии с Приложением № 10 к Положению.».</w:t>
      </w:r>
    </w:p>
    <w:p>
      <w:pPr>
        <w:pStyle w:val="ConsPlusNormal"/>
        <w:tabs>
          <w:tab w:val="clear" w:pos="708"/>
          <w:tab w:val="left" w:pos="709" w:leader="none"/>
          <w:tab w:val="left" w:pos="851" w:leader="none"/>
          <w:tab w:val="left" w:pos="993" w:leader="none"/>
          <w:tab w:val="left" w:pos="1276" w:leader="none"/>
          <w:tab w:val="left" w:pos="1560" w:leader="none"/>
        </w:tabs>
        <w:spacing w:lineRule="auto" w:line="360"/>
        <w:ind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Cs/>
          <w:spacing w:val="2"/>
          <w:sz w:val="28"/>
          <w:szCs w:val="28"/>
        </w:rPr>
        <w:tab/>
        <w:t>2) Приложение № 7 к Положению «Размер выплат Тренерам-преподавателям МАУ ДО СШ «Цементник» муниципального образования «Город Новоульяновск» Ульяновской области за подготовку высококвалифицированного спортсмена, вошедшего в состав сборной команды Российской Федерации или Ульяновской области по различным видам спорта и занявшего одно из первых шести мест на официальных соревнованиях соответствующего уровня, а также руководителям и специалистам муниципальных учреждений физической культуры и спорта Ульяновской области за обеспечение высококачественного учебно-тренировочного процесса.» считать приложением № 6.</w:t>
      </w:r>
    </w:p>
    <w:p>
      <w:pPr>
        <w:pStyle w:val="ConsPlusNormal"/>
        <w:tabs>
          <w:tab w:val="clear" w:pos="708"/>
          <w:tab w:val="left" w:pos="567" w:leader="none"/>
          <w:tab w:val="left" w:pos="709" w:leader="none"/>
          <w:tab w:val="left" w:pos="851" w:leader="none"/>
          <w:tab w:val="left" w:pos="1134" w:leader="none"/>
        </w:tabs>
        <w:spacing w:lineRule="auto" w:line="360"/>
        <w:ind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Cs/>
          <w:spacing w:val="2"/>
          <w:sz w:val="28"/>
          <w:szCs w:val="28"/>
        </w:rPr>
        <w:t xml:space="preserve">             </w:t>
      </w:r>
      <w:r>
        <w:rPr>
          <w:rFonts w:cs="Times New Roman" w:ascii="Times New Roman" w:hAnsi="Times New Roman"/>
          <w:bCs/>
          <w:spacing w:val="2"/>
          <w:sz w:val="28"/>
          <w:szCs w:val="28"/>
        </w:rPr>
        <w:t>3) Приложение № 7 к Положению изложить в следующей редакции:</w:t>
      </w:r>
    </w:p>
    <w:p>
      <w:pPr>
        <w:pStyle w:val="Normal"/>
        <w:widowControl w:val="false"/>
        <w:tabs>
          <w:tab w:val="clear" w:pos="708"/>
          <w:tab w:val="left" w:pos="7275" w:leader="none"/>
        </w:tabs>
        <w:spacing w:lineRule="auto" w:line="259" w:before="0" w:after="160"/>
        <w:ind w:firstLine="540"/>
        <w:jc w:val="both"/>
        <w:rPr>
          <w:rFonts w:eastAsia="Arial" w:eastAsiaTheme="minorHAnsi"/>
          <w:b/>
          <w:bCs/>
          <w:sz w:val="28"/>
          <w:szCs w:val="28"/>
          <w:lang w:eastAsia="en-US"/>
        </w:rPr>
      </w:pPr>
      <w:r>
        <w:rPr>
          <w:rFonts w:eastAsia="Arial" w:eastAsiaTheme="minorHAnsi"/>
          <w:b/>
          <w:bCs/>
          <w:sz w:val="28"/>
          <w:szCs w:val="28"/>
          <w:lang w:eastAsia="en-US"/>
        </w:rPr>
        <w:t xml:space="preserve">                                                                               </w:t>
      </w:r>
    </w:p>
    <w:p>
      <w:pPr>
        <w:pStyle w:val="Normal"/>
        <w:widowControl w:val="false"/>
        <w:tabs>
          <w:tab w:val="clear" w:pos="708"/>
          <w:tab w:val="left" w:pos="7275" w:leader="none"/>
        </w:tabs>
        <w:spacing w:lineRule="auto" w:line="259" w:before="0" w:after="160"/>
        <w:ind w:firstLine="540"/>
        <w:jc w:val="both"/>
        <w:rPr>
          <w:rFonts w:eastAsia="Arial" w:eastAsiaTheme="minorHAnsi"/>
          <w:b/>
          <w:bCs/>
          <w:sz w:val="28"/>
          <w:szCs w:val="28"/>
          <w:lang w:eastAsia="en-US"/>
        </w:rPr>
      </w:pPr>
      <w:r>
        <w:rPr>
          <w:rFonts w:eastAsia="Arial" w:eastAsiaTheme="minorHAnsi"/>
          <w:b/>
          <w:bCs/>
          <w:sz w:val="28"/>
          <w:szCs w:val="28"/>
          <w:lang w:eastAsia="en-US"/>
        </w:rPr>
      </w:r>
    </w:p>
    <w:p>
      <w:pPr>
        <w:pStyle w:val="Normal"/>
        <w:widowControl w:val="false"/>
        <w:tabs>
          <w:tab w:val="clear" w:pos="708"/>
          <w:tab w:val="left" w:pos="7275" w:leader="none"/>
        </w:tabs>
        <w:spacing w:lineRule="auto" w:line="259" w:before="0" w:after="160"/>
        <w:ind w:firstLine="540"/>
        <w:jc w:val="end"/>
        <w:rPr>
          <w:sz w:val="28"/>
          <w:szCs w:val="28"/>
        </w:rPr>
      </w:pPr>
      <w:r>
        <w:rPr>
          <w:rFonts w:eastAsia="Arial"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="Arial" w:eastAsiaTheme="minorHAnsi"/>
          <w:b/>
          <w:bCs/>
          <w:sz w:val="28"/>
          <w:szCs w:val="28"/>
          <w:lang w:eastAsia="en-US"/>
        </w:rPr>
        <w:t>«</w:t>
      </w:r>
      <w:r>
        <w:rPr>
          <w:rFonts w:eastAsia="Arial" w:eastAsiaTheme="minorHAnsi"/>
          <w:bCs/>
          <w:sz w:val="28"/>
          <w:szCs w:val="28"/>
          <w:lang w:eastAsia="en-US"/>
        </w:rPr>
        <w:t>Приложение № 7</w:t>
      </w:r>
    </w:p>
    <w:p>
      <w:pPr>
        <w:pStyle w:val="Normal"/>
        <w:widowControl w:val="false"/>
        <w:tabs>
          <w:tab w:val="clear" w:pos="708"/>
          <w:tab w:val="left" w:pos="7275" w:leader="none"/>
        </w:tabs>
        <w:spacing w:lineRule="auto" w:line="259" w:before="0" w:after="160"/>
        <w:ind w:firstLine="540"/>
        <w:jc w:val="end"/>
        <w:rPr>
          <w:sz w:val="28"/>
          <w:szCs w:val="28"/>
        </w:rPr>
      </w:pPr>
      <w:r>
        <w:rPr>
          <w:rFonts w:eastAsia="Arial" w:eastAsiaTheme="minorHAnsi"/>
          <w:bCs/>
          <w:sz w:val="28"/>
          <w:szCs w:val="28"/>
          <w:lang w:eastAsia="en-US"/>
        </w:rPr>
        <w:t xml:space="preserve">                                                                                          </w:t>
      </w:r>
      <w:r>
        <w:rPr>
          <w:rFonts w:eastAsia="Arial" w:eastAsiaTheme="minorHAnsi"/>
          <w:bCs/>
          <w:sz w:val="28"/>
          <w:szCs w:val="28"/>
          <w:lang w:eastAsia="en-US"/>
        </w:rPr>
        <w:t>к Положению</w:t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  <w:t>ПОРЯДОК</w:t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  <w:t>начисления и предоставления выплаты к окладу</w:t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  <w:t xml:space="preserve"> </w:t>
      </w:r>
      <w:r>
        <w:rPr>
          <w:rFonts w:eastAsia="Arial" w:eastAsiaTheme="minorHAnsi"/>
          <w:b/>
          <w:bCs/>
          <w:sz w:val="24"/>
          <w:lang w:eastAsia="en-US"/>
        </w:rPr>
        <w:t xml:space="preserve">(должностному окладу) за интенсивность и высокие результаты работы </w:t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  <w:t xml:space="preserve">работникам муниципального автономного учреждения дополнительного образования спортивная школа «Цементник» 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b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 xml:space="preserve">Учитывая интенсивность труда, степень напряженности труда, степень плотности использования рабочего времени, количества и качества выполняемых трудовых функций работниками учреждения, размер стимулирующей выплаты за интенсивность и высокие результаты работы    устанавливается сроком на 1 месяц и закрепляется локальным нормативным актом учреждения.    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 xml:space="preserve">за интенсивность и высокие результаты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Директора</w:t>
      </w:r>
    </w:p>
    <w:tbl>
      <w:tblPr>
        <w:tblW w:w="8906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firstRow="1" w:noVBand="1" w:lastRow="0" w:firstColumn="1" w:lastColumn="0" w:noHBand="0" w:val="04a0"/>
      </w:tblPr>
      <w:tblGrid>
        <w:gridCol w:w="439"/>
        <w:gridCol w:w="3689"/>
        <w:gridCol w:w="1888"/>
        <w:gridCol w:w="1269"/>
        <w:gridCol w:w="1621"/>
      </w:tblGrid>
      <w:tr>
        <w:trPr/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Autospacing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и показатели</w:t>
            </w:r>
          </w:p>
        </w:tc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эффективности деятельности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Размер показателей в процентах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 оценки</w:t>
            </w:r>
          </w:p>
        </w:tc>
      </w:tr>
      <w:tr>
        <w:trPr/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Отсутствие нарушений при исполнении бюджета</w:t>
            </w:r>
          </w:p>
        </w:tc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 замечаний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Выполнение отдельных поручений главы города и администрации</w:t>
            </w:r>
          </w:p>
        </w:tc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Своевременность, полнота, достоверность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Своевременное и качественное предоставление финансовой отчётности</w:t>
            </w:r>
          </w:p>
        </w:tc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>
          <w:trHeight w:val="1074" w:hRule="atLeast"/>
        </w:trPr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Анализ показателей выполнения плана (в динамике) по финансовым расходам</w:t>
            </w:r>
          </w:p>
        </w:tc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Задания выполнены качественно и в установленные сроки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 xml:space="preserve">Участие в составлении и реализации плана мероприятий по оптимизации бюджетных средств  </w:t>
            </w:r>
          </w:p>
        </w:tc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>
          <w:trHeight w:val="1064" w:hRule="atLeast"/>
        </w:trPr>
        <w:tc>
          <w:tcPr>
            <w:tcW w:w="4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Организация проведения внутришкольных, городских, областных мероприятий на спортсооружении</w:t>
            </w:r>
          </w:p>
        </w:tc>
        <w:tc>
          <w:tcPr>
            <w:tcW w:w="18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150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 xml:space="preserve">за интенсивность и высокие результаты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Главного бухгалтера</w:t>
      </w:r>
    </w:p>
    <w:tbl>
      <w:tblPr>
        <w:tblW w:w="9060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firstRow="1" w:noVBand="1" w:lastRow="0" w:firstColumn="1" w:lastColumn="0" w:noHBand="0" w:val="04a0"/>
      </w:tblPr>
      <w:tblGrid>
        <w:gridCol w:w="449"/>
        <w:gridCol w:w="3836"/>
        <w:gridCol w:w="1883"/>
        <w:gridCol w:w="1272"/>
        <w:gridCol w:w="1620"/>
      </w:tblGrid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Autospacing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и показатели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эффективности деятельности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Размер показателей в процентах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 оценки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Отсутствие нарушений при исполнении бюджета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 замечаний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Своевременное и качественное предоставление финансовой отчётности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Своевременность, полнота, достоверность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Качественное ведение бухгалтерской документации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Качество, полнота, своевременность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Высокое качество и своевременная сдача годовой и квартальной отчётности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Качество, полнота, своевременность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Систематический анализ финансово-хозяйственной деятельности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Выполнение отдельных поручений директора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Задания выполнены качественно и в установленные сроки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140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 xml:space="preserve">за интенсивность и высокие результаты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Экономиста</w:t>
      </w:r>
    </w:p>
    <w:tbl>
      <w:tblPr>
        <w:tblW w:w="9060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firstRow="1" w:noVBand="1" w:lastRow="0" w:firstColumn="1" w:lastColumn="0" w:noHBand="0" w:val="04a0"/>
      </w:tblPr>
      <w:tblGrid>
        <w:gridCol w:w="458"/>
        <w:gridCol w:w="3827"/>
        <w:gridCol w:w="1883"/>
        <w:gridCol w:w="1272"/>
        <w:gridCol w:w="1620"/>
      </w:tblGrid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Autospacing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и показатели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эффективности деятельности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Размер показателей в процентах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 оценки</w:t>
            </w:r>
          </w:p>
        </w:tc>
      </w:tr>
      <w:tr>
        <w:trPr>
          <w:trHeight w:val="610" w:hRule="atLeast"/>
        </w:trPr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Своевременное и качественное ведение документооборота, полнота исполнения обязанностей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 замечаний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Составление и предоставление отчётной документации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Своевременность, полнота, достоверность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Составление проектов бюджета, изменений к ПФХД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Качество, полнота, своевременность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Анализ показателей выполнения плана (в динамике) по финансовым расходам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полнота, своевременность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 xml:space="preserve">Участие в составлении и реализации плана мероприятий по оптимизации бюджетных средств  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Выполнение отдельных поручений директора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Задания выполнены качественно и в установленные сроки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140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Инструктора методиста</w:t>
      </w:r>
    </w:p>
    <w:tbl>
      <w:tblPr>
        <w:tblW w:w="9060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firstRow="1" w:noVBand="1" w:lastRow="0" w:firstColumn="1" w:lastColumn="0" w:noHBand="0" w:val="04a0"/>
      </w:tblPr>
      <w:tblGrid>
        <w:gridCol w:w="458"/>
        <w:gridCol w:w="3827"/>
        <w:gridCol w:w="1883"/>
        <w:gridCol w:w="1272"/>
        <w:gridCol w:w="1620"/>
      </w:tblGrid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Autospacing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и показатели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эффективности деятельности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Размер показателей в процентах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 оценки</w:t>
            </w:r>
          </w:p>
        </w:tc>
      </w:tr>
      <w:tr>
        <w:trPr>
          <w:trHeight w:val="610" w:hRule="atLeast"/>
        </w:trPr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Своевременное и качественное ведение документации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 замечаний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Своевременное повышение квалификации, аттестации тренеров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Своевременность, полнота, достоверность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Подготовка материалов для участия Учреждения, тренеров и учащихся в профессиональных конкурсах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Качество, полнота, своевременность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Разработка методических пособий (рекомендаций, положений и.т.) для внутреннего пользования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полнота, своевременность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Организация проведения мероприятий с лицами с ограниченными возможностями здоровья на спортсооружениях.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>
          <w:trHeight w:val="1095" w:hRule="atLeast"/>
        </w:trPr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Выполнение отдельных поручений директора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Задания выполнены качественно и в установленные сроки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120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cs="DejaVu Sans" w:ascii="Arial" w:hAnsi="Arial" w:asciiTheme="minorHAnsi" w:cstheme="minorBidi" w:eastAsiaTheme="minorHAnsi" w:hAnsi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Методист по ГТО</w:t>
      </w:r>
    </w:p>
    <w:tbl>
      <w:tblPr>
        <w:tblW w:w="9060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firstRow="1" w:noVBand="1" w:lastRow="0" w:firstColumn="1" w:lastColumn="0" w:noHBand="0" w:val="04a0"/>
      </w:tblPr>
      <w:tblGrid>
        <w:gridCol w:w="454"/>
        <w:gridCol w:w="3831"/>
        <w:gridCol w:w="1883"/>
        <w:gridCol w:w="1272"/>
        <w:gridCol w:w="1620"/>
      </w:tblGrid>
      <w:tr>
        <w:trPr/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Autospacing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и показатели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Критерии эффективности деятельности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Размер показателей в процентах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 оценки</w:t>
            </w:r>
          </w:p>
        </w:tc>
      </w:tr>
      <w:tr>
        <w:trPr>
          <w:trHeight w:val="610" w:hRule="atLeast"/>
        </w:trPr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Своевременное и качественное ведение документации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Отсутствие замечаний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Участие в организации повышения квалификации и переподготовки работников по соответствующим направлениям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Своевременность, полнота, достоверность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Осуществляет проверку документов участников тестирования и сверяет их с АИС  ГТО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Качество, полнота, своевременность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 xml:space="preserve">Организует  и разрабатывает необходимую документацию по проведению тестирования норм ГТО 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полнота, своевременность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 xml:space="preserve">Вносит данные с бумажных протоколов по видам испытаний в специально установленную форму автоматизированной информационной системы ГТО 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>
          <w:trHeight w:val="1089" w:hRule="atLeast"/>
        </w:trPr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Выполнение отдельных поручений директора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Задания выполнены качественно и в установленные сроки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  <w:tr>
        <w:trPr/>
        <w:tc>
          <w:tcPr>
            <w:tcW w:w="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rPr>
                <w:sz w:val="24"/>
              </w:rPr>
            </w:pPr>
            <w:r>
              <w:rPr>
                <w:sz w:val="24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  <w:tc>
          <w:tcPr>
            <w:tcW w:w="12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100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cs="DejaVu Sans" w:ascii="Arial" w:hAnsi="Arial" w:asciiTheme="minorHAnsi" w:cstheme="minorBidi" w:eastAsiaTheme="minorHAnsi" w:hAnsi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Инструктора по спорту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98"/>
        <w:gridCol w:w="1962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разработке планов работы спортсооружения, календарных планов и др.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полнота, своевременность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Организация проведения внутришкольных, городских, областных мероприятий на спортсооружении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Своевременность предоставления необходимой документации и отчётности, выполнения приказов и распоряжений. 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и качественное ведение документации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Своевременное повышение квалификации, аттестации 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80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Инструктор по адаптивной физической культуре 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98"/>
        <w:gridCol w:w="1962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Своевременность предоставления необходимой документации и отчётности, выполнения приказов и распоряжений. 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Организация проведения мероприятий с лицами с ограниченными возможностями здоровья на спортсооружениях.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Разработка индивидуальных программ реабилитации лиц с ограниченными возможностями здоровья и исходных данных физической подготовленности занимающихся с целью комплектования групп для занятий с учётом основного дефекта и психофизического состояния занимающихся, составление плана и подбор наиболее эффективных методик проведения занятий.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полнота, своевременность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и качественное ведение документации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Осуществление поэтапного контроля подготовленности занимающихся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полнота, своевременность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912" w:hRule="atLeast"/>
        </w:trPr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80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Тренер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98"/>
        <w:gridCol w:w="1962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разработке планов работы спортсооружения, календарных планов и др.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полнота, своевременность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Организация проведения внутришкольных, городских, областных мероприятий на спортсооружении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Своевременность предоставления необходимой документации и отчётности, выполнения приказов и распоряжений. 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и качественное ведение документации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повышение квалификации, аттестации тренеров</w:t>
            </w:r>
          </w:p>
        </w:tc>
        <w:tc>
          <w:tcPr>
            <w:tcW w:w="196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color w:themeColor="background1" w:val="FFFFFF"/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29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96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процентов:120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Заведующий ФОК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366"/>
        <w:gridCol w:w="1894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Качественная организация производственно - хозяйственной деятельности спортсооружений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Организация проведения внутришкольных, городских, областных мероприятий на спортсооружении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Своевременность предоставления необходимой документации и отчётности, выполнения приказов и распоряжений. 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и качественное ведение документации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Обеспечение бесперебойной  работы систем отопления, водоснабжения, канализации и водостоков, электроснабжения спортсооружений</w:t>
            </w:r>
          </w:p>
        </w:tc>
        <w:tc>
          <w:tcPr>
            <w:tcW w:w="189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70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Заведующий хозяйством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366"/>
        <w:gridCol w:w="1894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нарушений при инвентаризации, хранении и списании материальных ценностей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Своевременная выдача сезонного инвентаря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Своевременность предоставления необходимой документации и отчётности, выполнения приказов и распоряжений. 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и качественное ведение документации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Обеспечение бесперебойной  работы систем отопления, водоснабжения, канализации и водостоков, электроснабжения спортсооружений</w:t>
            </w:r>
          </w:p>
        </w:tc>
        <w:tc>
          <w:tcPr>
            <w:tcW w:w="189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70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Специалист по охране труда и пожарной безопасности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380"/>
        <w:gridCol w:w="1880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3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8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3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Разработка локально-нормативных актов по охране труда</w:t>
            </w:r>
          </w:p>
        </w:tc>
        <w:tc>
          <w:tcPr>
            <w:tcW w:w="18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3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Разработка методических рекомендаций, программ, положений, памяток, планов по вопросам охраны труда: пожарная безопасность, санитарно-гигиенические нормы, электробезопасность. Контроль за расследованием несчастных случаев на производстве, разработка мероприятий по результатам расследования.</w:t>
            </w:r>
          </w:p>
        </w:tc>
        <w:tc>
          <w:tcPr>
            <w:tcW w:w="18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3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Планирование, разработка и совершенствование системы управления охраной труда. Контроль выполнения плановых мероприятий по охране труда, по результатам оценки состояния охраны труда в спорткомплексах. </w:t>
            </w:r>
          </w:p>
        </w:tc>
        <w:tc>
          <w:tcPr>
            <w:tcW w:w="18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3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Организация профилактических работ по недопущению несчастных случаев на производстве и профессиональных заболеваний. </w:t>
            </w:r>
          </w:p>
        </w:tc>
        <w:tc>
          <w:tcPr>
            <w:tcW w:w="18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3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и качественное ведение документации</w:t>
            </w:r>
          </w:p>
        </w:tc>
        <w:tc>
          <w:tcPr>
            <w:tcW w:w="18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3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8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3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3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8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70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Секретарь руководителя, делопроизводитель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364"/>
        <w:gridCol w:w="1896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Своевременность и качественное ведение документации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Качественное  оформление и ведение личных дел работников учреждения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Высокий уровень исполнительной дисциплины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Качественное ведение архива учреждения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Своевременность предоставления необходимой документации и отчётности, выполнения приказов и распоряжений</w:t>
            </w:r>
          </w:p>
        </w:tc>
        <w:tc>
          <w:tcPr>
            <w:tcW w:w="189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100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Администратор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366"/>
        <w:gridCol w:w="1894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Своевременность предоставления необходимой документации и отчётности, выполнения приказов и распоряжений</w:t>
            </w:r>
          </w:p>
        </w:tc>
        <w:tc>
          <w:tcPr>
            <w:tcW w:w="189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1092" w:hRule="atLeast"/>
        </w:trPr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и качественное ведение документации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Обеспечение соблюдения трудовой дисциплины работниками спортсооружения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Организация проведения текущих ремонтов помещений, контроль за качеством выполнения работ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36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разработке планов капитального и текущего ремонтов здания и системы электроснабжения, водоснабжения, вентиляции и др.</w:t>
            </w:r>
          </w:p>
        </w:tc>
        <w:tc>
          <w:tcPr>
            <w:tcW w:w="189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3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100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Инженер по подготовке воды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364"/>
        <w:gridCol w:w="1896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Своевременность предоставления необходимой документации и отчётности, выполнения приказов и распоряжений</w:t>
            </w:r>
          </w:p>
        </w:tc>
        <w:tc>
          <w:tcPr>
            <w:tcW w:w="189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и качественное ведение документации согласно ГОСТ и СанПиН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Контроль соблюдения технологии химической очистки воды, количества расходных материалов и химических реагентов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Своевременность реагирования на возникающие чрезвычайные ситуации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Ведение учёта расходных материалов, химических реагентов, массового количества воды, обработанной в установках химической очистки для технологических и собственных нужд.</w:t>
            </w:r>
          </w:p>
        </w:tc>
        <w:tc>
          <w:tcPr>
            <w:tcW w:w="189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       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8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100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Медицинская сестра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364"/>
        <w:gridCol w:w="1896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Своевременный контроль за прохождением медицинской комиссии работниками Учреждения, за прохождением медицинского осмотра тренирующимися  учреждения  в кабинете спортивной медицины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36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Контроль за наличием справок о доступе учащихся к занятиям в спортивной школе.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3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15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Сторож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188"/>
        <w:gridCol w:w="2072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18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18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Реагирование на возникающие нестандартные ситуации и ЧС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Своевременность, чёткое исполнение соответствующих инструкций и распоряжений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18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Чёткое исполнение контрольно-пропускного режима и требований по безопасности учреждения 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18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Сохранение целостности охраняемого объекта, имущества учреждения во время дежурства, контроль за функционированием здания 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18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Заполнение журналов дежурных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Качество и своевременность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1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1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18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207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15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Уборщик служебных помещений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00"/>
        <w:gridCol w:w="2060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Проведение генеральных уборок</w:t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Качество выполнения работы 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Эффективная работа подготовки помещений к новому учебному году, к отопительному сезону </w:t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Качество и своевременность, 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Бережное отношение к материальным ценностям, рабочему инструменту и их сбережению</w:t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0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Качественная и своевременная ежедневная уборка помещений в соответствии с требованием СанПиН</w:t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2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320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206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15</w:t>
      </w:r>
    </w:p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</w:r>
    </w:p>
    <w:p>
      <w:pPr>
        <w:pStyle w:val="Normal"/>
        <w:spacing w:beforeAutospacing="1" w:afterAutospacing="1"/>
        <w:rPr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Гардеробщик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48"/>
        <w:gridCol w:w="2012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4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4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Обеспечение сохранности сданных вещей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Отсутствие замечаний 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4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Соблюдение чистоты и порядка в гардеробе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4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4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4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15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Слесаря по ремонту и обслуживанию системы вентиляции и кондиционирования, слесаря-сантехника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07"/>
        <w:gridCol w:w="2053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0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0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Подготовка технического состояния школы к новому учебному году, к отопительному сезону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Качество и своевременность, отсутствие замечаний 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0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заявок по устранению технических неполадок, аварийных ситуаций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0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Своевременное и качественное техническое обслуживание и текущий ремонт системы вентиляции и кондиционирования, центрального отопления, водоснабжения, канализации 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20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205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60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Электромонтёра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08"/>
        <w:gridCol w:w="2052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0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20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0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выполнение профилактических и ремонтных работ электротехнического оборудования</w:t>
            </w:r>
          </w:p>
        </w:tc>
        <w:tc>
          <w:tcPr>
            <w:tcW w:w="20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Отсутствие сбоев в работе 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0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заявок по устранению технических неполадок, аварийных ситуаций</w:t>
            </w:r>
          </w:p>
        </w:tc>
        <w:tc>
          <w:tcPr>
            <w:tcW w:w="20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0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Подготовка технического состояния школы к новому учебному году, к отопительному сезону  </w:t>
            </w:r>
          </w:p>
        </w:tc>
        <w:tc>
          <w:tcPr>
            <w:tcW w:w="20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Качество и своевременность, 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20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20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20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205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60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Радиотехник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48"/>
        <w:gridCol w:w="2012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4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4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Обеспечение на всех мероприятиях исправной аппаратурой и музыкой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Отсутствие замечаний 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4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Соблюдение правил эксплуатации оборудования и инструментов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Соблюдение инструкций, отсутствие случаев травмирования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4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4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4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15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 xml:space="preserve">Показатели и критерии </w:t>
      </w:r>
      <w:r>
        <w:rPr>
          <w:rFonts w:eastAsia="Arial" w:eastAsiaTheme="minorHAnsi"/>
          <w:b/>
          <w:bCs/>
          <w:sz w:val="24"/>
          <w:lang w:eastAsia="en-US"/>
        </w:rPr>
        <w:t>за интенсивность и высокие результаты</w:t>
      </w:r>
      <w:r>
        <w:rPr>
          <w:rFonts w:eastAsia="Arial" w:eastAsiaTheme="minorHAnsi"/>
          <w:b/>
          <w:bCs/>
          <w:szCs w:val="28"/>
          <w:lang w:eastAsia="en-US"/>
        </w:rPr>
        <w:t xml:space="preserve"> </w:t>
      </w:r>
      <w:r>
        <w:rPr>
          <w:b/>
          <w:sz w:val="24"/>
        </w:rPr>
        <w:t>работы</w:t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Подсобный рабочий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267"/>
        <w:gridCol w:w="1993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26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26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Содержит в чистоте подсобные помещения, места хранения товарно-материальных ценностей.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сбоев в работе</w:t>
            </w:r>
          </w:p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 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26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Очищает территорию, подъездные пути, помещения.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26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Соблюдает производственную дисциплину, правила внутреннего трудового распорядка.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26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Выполнение отдельных поручений директора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26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в общественно-массовых мероприятиях в выходные дни (субботники, демонстрации и др.)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26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99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60</w:t>
      </w:r>
    </w:p>
    <w:p>
      <w:pPr>
        <w:pStyle w:val="Normal"/>
        <w:widowControl w:val="false"/>
        <w:spacing w:lineRule="auto" w:line="276" w:before="0" w:after="160"/>
        <w:ind w:firstLine="708"/>
        <w:jc w:val="both"/>
        <w:rPr>
          <w:rFonts w:eastAsia="Arial" w:eastAsiaTheme="minorHAnsi"/>
          <w:bCs/>
          <w:sz w:val="24"/>
          <w:lang w:eastAsia="en-US"/>
        </w:rPr>
      </w:pPr>
      <w:r>
        <w:rPr>
          <w:rFonts w:eastAsia="Arial" w:eastAsiaTheme="minorHAnsi"/>
          <w:bCs/>
          <w:sz w:val="24"/>
          <w:lang w:eastAsia="en-US"/>
        </w:rPr>
        <w:t xml:space="preserve">Выплаты произвести согласно протоколу заседания комиссии по оценочной деятельности работников МАУ ДО СШ «Цементник». </w:t>
      </w:r>
      <w:r>
        <w:rPr>
          <w:rFonts w:eastAsia="Arial" w:eastAsiaTheme="minorHAnsi"/>
          <w:sz w:val="24"/>
          <w:lang w:eastAsia="en-US"/>
        </w:rPr>
        <w:t>В компетенцию комиссии входит анализ и оценка деятельности каждого работника в соответствии с критериями и показателями оценки их профессиональной деятельности.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>При совершении прогула или нахождении на рабочем месте в алкогольном опьянении выплаты за интенсивность и</w:t>
      </w:r>
      <w:r>
        <w:rPr>
          <w:rFonts w:eastAsia="Arial" w:eastAsiaTheme="minorHAnsi"/>
          <w:bCs/>
          <w:sz w:val="24"/>
          <w:lang w:eastAsia="en-US"/>
        </w:rPr>
        <w:t xml:space="preserve"> высокие результаты работы </w:t>
      </w:r>
      <w:r>
        <w:rPr>
          <w:rFonts w:eastAsia="Arial" w:eastAsiaTheme="minorHAnsi"/>
          <w:sz w:val="24"/>
          <w:lang w:eastAsia="en-US"/>
        </w:rPr>
        <w:t>работнику не производятся.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>Снижение размера выплаты производится в том расчетном периоде, в котором было допущено нарушение. Если нарушение было обнаружено после начисления выплаты, снижение размера выплаты производится в том расчётном периоде, в котором было обнаружено нарушение, но не позднее шести месяцев со дня его совершения.</w:t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  <w:t>ПОРЯДОК</w:t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  <w:t>начисления и предоставления выплаты к окладу</w:t>
      </w:r>
    </w:p>
    <w:p>
      <w:pPr>
        <w:pStyle w:val="Normal"/>
        <w:widowControl w:val="false"/>
        <w:spacing w:lineRule="auto" w:line="259" w:before="0" w:after="160"/>
        <w:jc w:val="center"/>
        <w:rPr>
          <w:rFonts w:eastAsia="Arial" w:eastAsiaTheme="minorHAnsi"/>
          <w:b/>
          <w:bCs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  <w:t xml:space="preserve">(должностному окладу) за качество </w:t>
      </w:r>
      <w:r>
        <w:rPr>
          <w:rFonts w:eastAsia="Arial" w:eastAsiaTheme="minorHAnsi"/>
          <w:b/>
          <w:sz w:val="24"/>
          <w:lang w:eastAsia="en-US"/>
        </w:rPr>
        <w:t>выполняемых работ</w:t>
      </w:r>
    </w:p>
    <w:p>
      <w:pPr>
        <w:pStyle w:val="Normal"/>
        <w:widowControl w:val="false"/>
        <w:tabs>
          <w:tab w:val="clear" w:pos="708"/>
          <w:tab w:val="left" w:pos="5245" w:leader="none"/>
        </w:tabs>
        <w:spacing w:lineRule="atLeast" w:line="20" w:before="0" w:after="160"/>
        <w:jc w:val="center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b/>
          <w:bCs/>
          <w:sz w:val="24"/>
          <w:lang w:eastAsia="en-US"/>
        </w:rPr>
        <w:t>работникам муниципального автономного учреждения дополнительного образования спортивная школа «Цементник»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>Настоящий порядок определяет условия осуществления выплат стимулирующего характера за качество выполняемых работ работникам МАУ ДО СШ «Цементник» (далее – учреждение).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 xml:space="preserve"> </w:t>
      </w:r>
      <w:r>
        <w:rPr>
          <w:rFonts w:eastAsia="Arial" w:eastAsiaTheme="minorHAnsi"/>
          <w:sz w:val="24"/>
          <w:lang w:eastAsia="en-US"/>
        </w:rPr>
        <w:t>Выплаты распространяются на всех работников учреждения в соответствии с утвержденным штатным расписанием.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>Выплаты стимулирующего характера направлены на формирование побудительных мотивов к получению качественного результата труда, а также поощрение за выполненную работу и носят постоянный или временный характер.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 xml:space="preserve">Выплаты стимулирующего характера осуществляются в пределах средств, направленных на оплату труда. 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>Основным критерием, влияющим на размер выплат за качество выполняемых работ, является выполнение плановых заданий по учреждению за расчетный период. При невыполнении плановых заданий размер выплаты снижается пропорционально проценту выполнения.</w:t>
      </w:r>
    </w:p>
    <w:p>
      <w:pPr>
        <w:pStyle w:val="Normal"/>
        <w:spacing w:lineRule="auto" w:line="259" w:before="0" w:after="160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 xml:space="preserve">          </w:t>
      </w:r>
      <w:r>
        <w:rPr>
          <w:rFonts w:eastAsia="Arial" w:eastAsiaTheme="minorHAnsi"/>
          <w:sz w:val="24"/>
          <w:lang w:eastAsia="en-US"/>
        </w:rPr>
        <w:t>Стимулирующие выплаты за качество выполняемых работ производятся ежемесячно.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>Конкретный размер выплат стимулирующего характера каждому работнику устанавливается комиссией по контролю над распределением стимулирующих выплат и материальному поощрению работников.</w:t>
      </w:r>
    </w:p>
    <w:p>
      <w:pPr>
        <w:pStyle w:val="Normal"/>
        <w:spacing w:lineRule="auto" w:line="259" w:before="0" w:after="160"/>
        <w:ind w:firstLine="708"/>
        <w:jc w:val="both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>Размер выплаты за качество выполняемых работ каждому работнику учреждения определяется по бальной системе:</w:t>
      </w:r>
    </w:p>
    <w:p>
      <w:pPr>
        <w:pStyle w:val="Normal"/>
        <w:spacing w:lineRule="auto" w:line="259" w:before="0" w:after="160"/>
        <w:ind w:firstLine="708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  <w:t>-устанавливает порядок определения размера выплат стимулирующего характера</w:t>
        <w:br/>
        <w:t>работникам по результатам работы:</w:t>
        <w:br/>
        <w:t>- производит подсчет баллов по каждому  работнику Учреждения в месяц, квартал, год;</w:t>
        <w:br/>
        <w:t>- определяет размер стимулирующей части фонда оплаты труда работников,</w:t>
        <w:br/>
        <w:t>запланированной на месяц, квартал, год делит на общую сумму баллов. В результате получается денежный вес в рублях каждого балла. Этот показатель умножается на сумму баллов конкретного работника. В результате получается размер выплаты стимулирующего характера конкретного работника за данный период.</w:t>
      </w:r>
    </w:p>
    <w:p>
      <w:pPr>
        <w:pStyle w:val="Normal"/>
        <w:spacing w:lineRule="auto" w:line="259" w:before="0" w:after="160"/>
        <w:ind w:firstLine="708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</w:r>
    </w:p>
    <w:p>
      <w:pPr>
        <w:pStyle w:val="Normal"/>
        <w:tabs>
          <w:tab w:val="clear" w:pos="708"/>
          <w:tab w:val="left" w:pos="3671" w:leader="none"/>
          <w:tab w:val="left" w:pos="7131" w:leader="none"/>
        </w:tabs>
        <w:spacing w:lineRule="auto" w:line="259" w:before="0" w:after="160"/>
        <w:ind w:start="328" w:end="-1"/>
        <w:jc w:val="center"/>
        <w:rPr>
          <w:rFonts w:eastAsia="Arial" w:eastAsiaTheme="minorHAnsi"/>
          <w:b/>
          <w:spacing w:val="-2"/>
          <w:sz w:val="24"/>
          <w:lang w:eastAsia="en-US"/>
        </w:rPr>
      </w:pPr>
      <w:r>
        <w:rPr>
          <w:rFonts w:eastAsia="Arial" w:eastAsiaTheme="minorHAnsi"/>
          <w:b/>
          <w:sz w:val="24"/>
          <w:lang w:eastAsia="en-US"/>
        </w:rPr>
        <w:t>Перечень основных показателей и</w:t>
      </w:r>
      <w:r>
        <w:rPr>
          <w:rFonts w:eastAsia="Arial" w:eastAsiaTheme="minorHAnsi"/>
          <w:b/>
          <w:spacing w:val="40"/>
          <w:sz w:val="24"/>
          <w:lang w:eastAsia="en-US"/>
        </w:rPr>
        <w:t xml:space="preserve"> </w:t>
      </w:r>
      <w:r>
        <w:rPr>
          <w:rFonts w:eastAsia="Arial" w:eastAsiaTheme="minorHAnsi"/>
          <w:b/>
          <w:sz w:val="24"/>
          <w:lang w:eastAsia="en-US"/>
        </w:rPr>
        <w:t>критериев оценки эффективности труда работников</w:t>
      </w:r>
      <w:r>
        <w:rPr>
          <w:rFonts w:eastAsia="Arial" w:eastAsiaTheme="minorHAnsi"/>
          <w:b/>
          <w:spacing w:val="-5"/>
          <w:sz w:val="24"/>
          <w:lang w:eastAsia="en-US"/>
        </w:rPr>
        <w:t xml:space="preserve"> </w:t>
      </w:r>
      <w:r>
        <w:rPr>
          <w:rFonts w:eastAsia="Arial" w:eastAsiaTheme="minorHAnsi"/>
          <w:b/>
          <w:sz w:val="24"/>
          <w:lang w:eastAsia="en-US"/>
        </w:rPr>
        <w:t>Учреждения,</w:t>
      </w:r>
      <w:r>
        <w:rPr>
          <w:rFonts w:eastAsia="Arial" w:eastAsiaTheme="minorHAnsi"/>
          <w:b/>
          <w:spacing w:val="40"/>
          <w:sz w:val="24"/>
          <w:lang w:eastAsia="en-US"/>
        </w:rPr>
        <w:t xml:space="preserve"> </w:t>
      </w:r>
      <w:r>
        <w:rPr>
          <w:rFonts w:eastAsia="Arial" w:eastAsiaTheme="minorHAnsi"/>
          <w:b/>
          <w:sz w:val="24"/>
          <w:lang w:eastAsia="en-US"/>
        </w:rPr>
        <w:t>позволяющих</w:t>
      </w:r>
      <w:r>
        <w:rPr>
          <w:rFonts w:eastAsia="Arial" w:eastAsiaTheme="minorHAnsi"/>
          <w:b/>
          <w:spacing w:val="-4"/>
          <w:sz w:val="24"/>
          <w:lang w:eastAsia="en-US"/>
        </w:rPr>
        <w:t xml:space="preserve"> </w:t>
      </w:r>
      <w:r>
        <w:rPr>
          <w:rFonts w:eastAsia="Arial" w:eastAsiaTheme="minorHAnsi"/>
          <w:b/>
          <w:sz w:val="24"/>
          <w:lang w:eastAsia="en-US"/>
        </w:rPr>
        <w:t>оценить</w:t>
      </w:r>
      <w:r>
        <w:rPr>
          <w:rFonts w:eastAsia="Arial" w:eastAsiaTheme="minorHAnsi"/>
          <w:b/>
          <w:spacing w:val="-4"/>
          <w:sz w:val="24"/>
          <w:lang w:eastAsia="en-US"/>
        </w:rPr>
        <w:t xml:space="preserve"> </w:t>
      </w:r>
      <w:r>
        <w:rPr>
          <w:rFonts w:eastAsia="Arial" w:eastAsiaTheme="minorHAnsi"/>
          <w:b/>
          <w:sz w:val="24"/>
          <w:lang w:eastAsia="en-US"/>
        </w:rPr>
        <w:t>качество работы</w:t>
      </w:r>
      <w:r>
        <w:rPr>
          <w:rFonts w:eastAsia="Arial" w:eastAsiaTheme="minorHAnsi"/>
          <w:b/>
          <w:spacing w:val="40"/>
          <w:sz w:val="24"/>
          <w:lang w:eastAsia="en-US"/>
        </w:rPr>
        <w:t xml:space="preserve"> </w:t>
      </w:r>
      <w:r>
        <w:rPr>
          <w:rFonts w:eastAsia="Arial" w:eastAsiaTheme="minorHAnsi"/>
          <w:b/>
          <w:sz w:val="24"/>
          <w:lang w:eastAsia="en-US"/>
        </w:rPr>
        <w:t>для</w:t>
      </w:r>
      <w:r>
        <w:rPr>
          <w:rFonts w:eastAsia="Arial" w:eastAsiaTheme="minorHAnsi"/>
          <w:b/>
          <w:spacing w:val="40"/>
          <w:sz w:val="24"/>
          <w:lang w:eastAsia="en-US"/>
        </w:rPr>
        <w:t xml:space="preserve"> </w:t>
      </w:r>
      <w:r>
        <w:rPr>
          <w:rFonts w:eastAsia="Arial" w:eastAsiaTheme="minorHAnsi"/>
          <w:b/>
          <w:sz w:val="24"/>
          <w:lang w:eastAsia="en-US"/>
        </w:rPr>
        <w:t xml:space="preserve">проведения выплат стимулирующего </w:t>
      </w:r>
      <w:r>
        <w:rPr>
          <w:rFonts w:eastAsia="Arial" w:eastAsiaTheme="minorHAnsi"/>
          <w:b/>
          <w:spacing w:val="-2"/>
          <w:sz w:val="24"/>
          <w:lang w:eastAsia="en-US"/>
        </w:rPr>
        <w:t>характера.</w:t>
      </w:r>
    </w:p>
    <w:p>
      <w:pPr>
        <w:pStyle w:val="Normal"/>
        <w:rPr>
          <w:rFonts w:eastAsia="Arial" w:eastAsiaTheme="minorHAnsi"/>
          <w:sz w:val="24"/>
          <w:lang w:eastAsia="en-US"/>
        </w:rPr>
      </w:pPr>
      <w:r>
        <w:rPr>
          <w:rFonts w:eastAsia="Arial" w:eastAsiaTheme="minorHAnsi"/>
          <w:sz w:val="24"/>
          <w:lang w:eastAsia="en-US"/>
        </w:rPr>
      </w:r>
    </w:p>
    <w:p>
      <w:pPr>
        <w:pStyle w:val="Normal"/>
        <w:spacing w:lineRule="auto" w:line="259" w:before="70" w:after="160"/>
        <w:rPr>
          <w:rFonts w:eastAsia="Arial" w:eastAsiaTheme="minorHAnsi"/>
          <w:b/>
          <w:sz w:val="24"/>
          <w:lang w:eastAsia="en-US"/>
        </w:rPr>
      </w:pPr>
      <w:r>
        <w:rPr>
          <w:rFonts w:eastAsia="Arial" w:eastAsiaTheme="minorHAnsi"/>
          <w:b/>
          <w:sz w:val="24"/>
          <w:lang w:eastAsia="en-US"/>
        </w:rPr>
        <w:t>Директор</w:t>
      </w:r>
    </w:p>
    <w:tbl>
      <w:tblPr>
        <w:tblStyle w:val="12"/>
        <w:tblW w:w="946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814"/>
        <w:gridCol w:w="2974"/>
        <w:gridCol w:w="2197"/>
        <w:gridCol w:w="1781"/>
        <w:gridCol w:w="1698"/>
      </w:tblGrid>
      <w:tr>
        <w:trPr>
          <w:trHeight w:val="911" w:hRule="atLeast"/>
        </w:trPr>
        <w:tc>
          <w:tcPr>
            <w:tcW w:w="814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lineRule="atLeast" w:line="310" w:before="3" w:after="0"/>
              <w:ind w:start="107" w:end="132"/>
              <w:jc w:val="start"/>
              <w:rPr>
                <w:b/>
                <w:sz w:val="24"/>
                <w:lang w:eastAsia="en-US"/>
              </w:rPr>
            </w:pPr>
            <w:r>
              <w:rPr>
                <w:rFonts w:cs="" w:ascii="Calibri" w:hAnsi="Calibri"/>
                <w:b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cs="" w:ascii="Calibri" w:hAnsi="Calibri"/>
                <w:b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 качества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Уровень оценивания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оценки показателей (в баллах)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>
          <w:trHeight w:val="626" w:hRule="atLeast"/>
        </w:trPr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1.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Сохранность контингента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НП-75%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УТ-90%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ССМ-100%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30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Ежегодно на конец учебного года</w:t>
            </w:r>
          </w:p>
        </w:tc>
      </w:tr>
      <w:tr>
        <w:trPr>
          <w:trHeight w:val="625" w:hRule="atLeast"/>
        </w:trPr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2.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Отсутствие обоснованных жалоб участников тренировочного процесса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Отсутствие замечаний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ru-RU" w:eastAsia="en-US" w:bidi="ar-SA"/>
              </w:rPr>
              <w:t>30</w:t>
            </w: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 xml:space="preserve"> 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625" w:hRule="atLeast"/>
        </w:trPr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pacing w:val="-5"/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3.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color w:val="000000"/>
                <w:sz w:val="24"/>
                <w:szCs w:val="22"/>
                <w:lang w:val="ru-RU" w:bidi="hi-IN"/>
              </w:rPr>
              <w:t>Учёт заключенных договоров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Отсутствие замечаний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pacing w:val="-10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ru-RU" w:eastAsia="en-US" w:bidi="ar-SA"/>
              </w:rPr>
              <w:t>30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625" w:hRule="atLeast"/>
        </w:trPr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pacing w:val="-5"/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4.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ru-RU" w:bidi="ar-SA"/>
              </w:rPr>
              <w:t>Исполнение обязанностей в условиях, отличающихся от нормальных (сложность, особая сложность, срочность)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Отсутствие замечаний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pacing w:val="-10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ru-RU" w:eastAsia="en-US" w:bidi="ar-SA"/>
              </w:rPr>
              <w:t>30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625" w:hRule="atLeast"/>
        </w:trPr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pacing w:val="-5"/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5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ru-RU" w:bidi="ar-SA"/>
              </w:rPr>
              <w:t>Отсутствие кредиторских задолженностей и остатков средств на счетах учреждения на конец отчётности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Отсутствие замечаний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pacing w:val="-10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ru-RU" w:eastAsia="en-US" w:bidi="ar-SA"/>
              </w:rPr>
              <w:t>20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625" w:hRule="atLeast"/>
        </w:trPr>
        <w:tc>
          <w:tcPr>
            <w:tcW w:w="81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pacing w:val="-5"/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6</w:t>
            </w:r>
          </w:p>
        </w:tc>
        <w:tc>
          <w:tcPr>
            <w:tcW w:w="2974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Повышение квалификации по направлению деятельности, приобретение дополнительных навыков, необходимых для более качественного выполнения обязанностей, предусмотренных трудовым договором</w:t>
            </w:r>
          </w:p>
        </w:tc>
        <w:tc>
          <w:tcPr>
            <w:tcW w:w="2197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Отсутствие замечаний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pacing w:val="-10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ru-RU" w:eastAsia="en-US" w:bidi="ar-SA"/>
              </w:rPr>
              <w:t>10</w:t>
            </w:r>
          </w:p>
        </w:tc>
        <w:tc>
          <w:tcPr>
            <w:tcW w:w="16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баллов: 150</w:t>
      </w:r>
    </w:p>
    <w:p>
      <w:pPr>
        <w:pStyle w:val="Normal"/>
        <w:spacing w:lineRule="auto" w:line="259" w:before="70" w:after="160"/>
        <w:rPr>
          <w:rFonts w:eastAsia="Arial" w:eastAsiaTheme="minorHAnsi"/>
          <w:b/>
          <w:sz w:val="24"/>
          <w:lang w:eastAsia="en-US"/>
        </w:rPr>
      </w:pPr>
      <w:r>
        <w:rPr>
          <w:rFonts w:eastAsia="Arial" w:eastAsiaTheme="minorHAnsi"/>
          <w:b/>
          <w:sz w:val="24"/>
          <w:lang w:eastAsia="en-US"/>
        </w:rPr>
      </w:r>
    </w:p>
    <w:p>
      <w:pPr>
        <w:pStyle w:val="Normal"/>
        <w:spacing w:lineRule="auto" w:line="259" w:before="70" w:after="160"/>
        <w:rPr>
          <w:rFonts w:eastAsia="Arial" w:eastAsiaTheme="minorHAnsi"/>
          <w:b/>
          <w:sz w:val="24"/>
          <w:lang w:eastAsia="en-US"/>
        </w:rPr>
      </w:pPr>
      <w:r>
        <w:rPr>
          <w:rFonts w:eastAsia="Arial" w:eastAsiaTheme="minorHAnsi"/>
          <w:b/>
          <w:sz w:val="24"/>
          <w:lang w:eastAsia="en-US"/>
        </w:rPr>
        <w:t>Главный бухгалтер</w:t>
      </w:r>
    </w:p>
    <w:tbl>
      <w:tblPr>
        <w:tblStyle w:val="TableNormal"/>
        <w:tblpPr w:vertAnchor="text" w:horzAnchor="margin" w:tblpXSpec="center" w:leftFromText="180" w:rightFromText="180" w:tblpY="679"/>
        <w:tblW w:w="8794" w:type="dxa"/>
        <w:jc w:val="center"/>
        <w:tblInd w:w="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1" w:noVBand="0" w:lastRow="1" w:firstColumn="1" w:lastColumn="1" w:noHBand="0" w:val="01e0"/>
      </w:tblPr>
      <w:tblGrid>
        <w:gridCol w:w="714"/>
        <w:gridCol w:w="3260"/>
        <w:gridCol w:w="1843"/>
        <w:gridCol w:w="1559"/>
        <w:gridCol w:w="1418"/>
      </w:tblGrid>
      <w:tr>
        <w:trPr>
          <w:trHeight w:val="664" w:hRule="atLeast"/>
        </w:trPr>
        <w:tc>
          <w:tcPr>
            <w:tcW w:w="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10" w:before="3" w:after="0"/>
              <w:ind w:hanging="70" w:start="220" w:end="132"/>
              <w:jc w:val="start"/>
              <w:rPr>
                <w:b/>
                <w:sz w:val="24"/>
                <w:lang w:eastAsia="en-US"/>
              </w:rPr>
            </w:pPr>
            <w:r>
              <w:rPr>
                <w:rFonts w:cs="" w:ascii="Calibri" w:hAnsi="Calibri"/>
                <w:b/>
                <w:spacing w:val="-6"/>
                <w:sz w:val="24"/>
                <w:szCs w:val="22"/>
                <w:lang w:val="en-US" w:eastAsia="en-US" w:bidi="ar-SA"/>
              </w:rPr>
              <w:t xml:space="preserve">№ </w:t>
            </w:r>
            <w:r>
              <w:rPr>
                <w:rFonts w:cs="" w:ascii="Calibri" w:hAnsi="Calibri"/>
                <w:b/>
                <w:spacing w:val="-4"/>
                <w:sz w:val="24"/>
                <w:szCs w:val="22"/>
                <w:lang w:val="en-US" w:eastAsia="en-US" w:bidi="ar-SA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Критерии и показатели качества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Уровень оценивания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Размер оценки показателей (в баллах)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Периодичность оценки</w:t>
            </w:r>
          </w:p>
        </w:tc>
      </w:tr>
      <w:tr>
        <w:trPr>
          <w:trHeight w:val="626" w:hRule="atLeast"/>
        </w:trPr>
        <w:tc>
          <w:tcPr>
            <w:tcW w:w="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1.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Качественная и эффективная работа с органами казначейского исполнения бюджета в системе электронного документооборота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Отсутствие замечаний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  <w:tr>
        <w:trPr>
          <w:trHeight w:val="551" w:hRule="atLeast"/>
        </w:trPr>
        <w:tc>
          <w:tcPr>
            <w:tcW w:w="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color w:val="000000"/>
                <w:sz w:val="24"/>
                <w:lang w:bidi="hi-IN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Отсутствие кредиторских задолженностей и остатков средств на счетах учреждения на конец отчётности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Отсутствие замечаний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Autospacing="1" w:afterAutospacing="1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20</w:t>
            </w:r>
          </w:p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  <w:tr>
        <w:trPr>
          <w:trHeight w:val="625" w:hRule="atLeast"/>
        </w:trPr>
        <w:tc>
          <w:tcPr>
            <w:tcW w:w="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color w:val="000000"/>
                <w:sz w:val="24"/>
                <w:lang w:bidi="hi-IN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Исполнение обязанностей в условиях, отличающихся от нормальных (сложность, особая сложность, срочность)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Своевременно и в полном объеме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  <w:tr>
        <w:trPr>
          <w:trHeight w:val="899" w:hRule="atLeast"/>
        </w:trPr>
        <w:tc>
          <w:tcPr>
            <w:tcW w:w="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Контроль за рациональным использованием трудовых и финансовых ресурсов. Качественное проведение инвентаризации денежных, товарно-материальных ценностей, основных средств, расчётов, платежей, обязательств,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договоров.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Своевременно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 xml:space="preserve"> </w:t>
            </w: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и в полном объеме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eastAsia="Arial" w:eastAsiaTheme="minorHAnsi"/>
                <w:color w:val="000000"/>
                <w:sz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  <w:tr>
        <w:trPr>
          <w:trHeight w:val="571" w:hRule="atLeast"/>
        </w:trPr>
        <w:tc>
          <w:tcPr>
            <w:tcW w:w="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Использование бюджетных средств в соответствии с ПФХД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Отсутствие замечаний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</w:r>
    </w:p>
    <w:p>
      <w:pPr>
        <w:pStyle w:val="Normal"/>
        <w:spacing w:beforeAutospacing="1" w:afterAutospacing="1"/>
        <w:ind w:start="-142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>Максимальное количество баллов: 140</w:t>
      </w:r>
    </w:p>
    <w:p>
      <w:pPr>
        <w:pStyle w:val="Normal"/>
        <w:spacing w:lineRule="auto" w:line="259" w:before="70" w:after="160"/>
        <w:ind w:hanging="0" w:start="0"/>
        <w:rPr>
          <w:rFonts w:eastAsia="Arial" w:eastAsiaTheme="minorHAnsi"/>
          <w:b/>
          <w:sz w:val="24"/>
          <w:lang w:eastAsia="en-US"/>
        </w:rPr>
      </w:pPr>
      <w:r>
        <w:rPr>
          <w:rFonts w:eastAsia="Arial" w:eastAsiaTheme="minorHAnsi"/>
          <w:b/>
          <w:sz w:val="24"/>
          <w:lang w:eastAsia="en-US"/>
        </w:rPr>
      </w:r>
    </w:p>
    <w:p>
      <w:pPr>
        <w:pStyle w:val="Normal"/>
        <w:spacing w:lineRule="auto" w:line="259" w:before="70" w:after="160"/>
        <w:ind w:hanging="0" w:start="0"/>
        <w:rPr>
          <w:rFonts w:eastAsia="Arial" w:eastAsiaTheme="minorHAnsi"/>
          <w:b/>
          <w:sz w:val="24"/>
          <w:lang w:eastAsia="en-US"/>
        </w:rPr>
      </w:pPr>
      <w:r>
        <w:rPr>
          <w:rFonts w:eastAsia="Arial" w:eastAsiaTheme="minorHAnsi"/>
          <w:b/>
          <w:sz w:val="24"/>
          <w:lang w:eastAsia="en-US"/>
        </w:rPr>
        <w:t>Экономист</w:t>
      </w:r>
    </w:p>
    <w:tbl>
      <w:tblPr>
        <w:tblStyle w:val="TableNormal"/>
        <w:tblW w:w="8799" w:type="dxa"/>
        <w:jc w:val="start"/>
        <w:tblInd w:w="137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1" w:noVBand="0" w:lastRow="1" w:firstColumn="1" w:lastColumn="1" w:noHBand="0" w:val="01e0"/>
      </w:tblPr>
      <w:tblGrid>
        <w:gridCol w:w="709"/>
        <w:gridCol w:w="2984"/>
        <w:gridCol w:w="1984"/>
        <w:gridCol w:w="1421"/>
        <w:gridCol w:w="1701"/>
      </w:tblGrid>
      <w:tr>
        <w:trPr>
          <w:trHeight w:val="872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10" w:before="3" w:after="0"/>
              <w:ind w:hanging="70" w:start="220" w:end="132"/>
              <w:jc w:val="start"/>
              <w:rPr>
                <w:b/>
                <w:sz w:val="24"/>
                <w:lang w:eastAsia="en-US"/>
              </w:rPr>
            </w:pPr>
            <w:r>
              <w:rPr>
                <w:rFonts w:cs="" w:ascii="Calibri" w:hAnsi="Calibri"/>
                <w:b/>
                <w:spacing w:val="-6"/>
                <w:sz w:val="24"/>
                <w:szCs w:val="22"/>
                <w:lang w:val="en-US" w:eastAsia="en-US" w:bidi="ar-SA"/>
              </w:rPr>
              <w:t xml:space="preserve">№ </w:t>
            </w:r>
            <w:r>
              <w:rPr>
                <w:rFonts w:cs="" w:ascii="Calibri" w:hAnsi="Calibri"/>
                <w:b/>
                <w:spacing w:val="-4"/>
                <w:sz w:val="24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Критерии и показатели качества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Уровень оценивания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Размер оценки показателей (в баллах)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end="708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 xml:space="preserve"> </w:t>
            </w:r>
          </w:p>
        </w:tc>
      </w:tr>
      <w:tr>
        <w:trPr>
          <w:trHeight w:val="626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1.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cs="" w:ascii="Calibri" w:hAnsi="Calibri"/>
                <w:bCs/>
                <w:color w:val="000000"/>
                <w:sz w:val="24"/>
                <w:szCs w:val="22"/>
                <w:lang w:val="en-US" w:bidi="hi-IN"/>
              </w:rPr>
              <w:t xml:space="preserve">Качественное и своевременное выполнение целевых показателей эффективности работы учреждения в полном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Cs/>
                <w:color w:val="000000"/>
                <w:sz w:val="24"/>
                <w:lang w:bidi="hi-IN"/>
              </w:rPr>
            </w:pPr>
            <w:r>
              <w:rPr>
                <w:bCs/>
                <w:color w:val="000000"/>
                <w:sz w:val="24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cs="" w:ascii="Calibri" w:hAnsi="Calibri"/>
                <w:bCs/>
                <w:color w:val="000000"/>
                <w:sz w:val="24"/>
                <w:szCs w:val="22"/>
                <w:lang w:val="en-US" w:bidi="hi-IN"/>
              </w:rPr>
              <w:t>объёме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cs="" w:ascii="Calibri" w:hAnsi="Calibri"/>
                <w:bCs/>
                <w:color w:val="000000"/>
                <w:sz w:val="24"/>
                <w:szCs w:val="22"/>
                <w:lang w:val="en-US" w:bidi="hi-IN"/>
              </w:rPr>
              <w:t xml:space="preserve">Отчёт о выполнении показателей деятельности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lang w:bidi="hi-IN"/>
              </w:rPr>
            </w:pPr>
            <w:r>
              <w:rPr>
                <w:bCs/>
                <w:color w:val="000000"/>
                <w:sz w:val="24"/>
                <w:lang w:bidi="hi-IN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cs="" w:ascii="Calibri" w:hAnsi="Calibri"/>
                <w:bCs/>
                <w:color w:val="000000"/>
                <w:sz w:val="24"/>
                <w:szCs w:val="22"/>
                <w:lang w:val="en-US" w:bidi="hi-IN"/>
              </w:rPr>
              <w:t>учреждения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  <w:tr>
        <w:trPr>
          <w:trHeight w:val="551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2.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color w:val="000000"/>
                <w:sz w:val="24"/>
                <w:lang w:bidi="hi-IN"/>
              </w:rPr>
            </w:pPr>
            <w:r>
              <w:rPr>
                <w:rFonts w:cs="" w:ascii="Calibri" w:hAnsi="Calibri"/>
                <w:color w:val="000000"/>
                <w:sz w:val="24"/>
                <w:szCs w:val="22"/>
                <w:lang w:val="en-US" w:bidi="hi-IN"/>
              </w:rPr>
              <w:t xml:space="preserve">Исполнение утверждённого бюджета по бюджетным и внебюджетным средствам за предыдущий год 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анализ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Ежегодно в январе</w:t>
            </w:r>
          </w:p>
        </w:tc>
      </w:tr>
      <w:tr>
        <w:trPr>
          <w:trHeight w:val="625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3.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color w:val="000000"/>
                <w:sz w:val="24"/>
                <w:lang w:bidi="hi-IN"/>
              </w:rPr>
            </w:pPr>
            <w:r>
              <w:rPr>
                <w:rFonts w:cs="" w:ascii="Calibri" w:hAnsi="Calibri"/>
                <w:color w:val="000000"/>
                <w:sz w:val="24"/>
                <w:szCs w:val="22"/>
                <w:lang w:val="en-US" w:bidi="hi-IN"/>
              </w:rPr>
              <w:t>Учёт экономических показателей результатов работы учреждения, учёт заключенных договоров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Отсутствие замечаний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  <w:tr>
        <w:trPr>
          <w:trHeight w:val="899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4.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Использование бюджетных средств в соответствии с ПФХД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color w:val="000000"/>
                <w:sz w:val="24"/>
                <w:szCs w:val="22"/>
                <w:lang w:val="en-US" w:bidi="ar-SA"/>
              </w:rPr>
              <w:t>Обеспечение целевого использования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  <w:tr>
        <w:trPr>
          <w:trHeight w:val="839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5.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cs="" w:ascii="Calibri" w:hAnsi="Calibri"/>
                <w:bCs/>
                <w:color w:val="000000"/>
                <w:sz w:val="24"/>
                <w:szCs w:val="22"/>
                <w:lang w:val="en-US" w:bidi="hi-IN"/>
              </w:rPr>
              <w:t>Анализ и проверка предоставленных организациями документов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bCs/>
                <w:color w:val="000000"/>
                <w:sz w:val="24"/>
                <w:lang w:bidi="hi-IN"/>
              </w:rPr>
            </w:pPr>
            <w:r>
              <w:rPr>
                <w:rFonts w:cs="" w:ascii="Calibri" w:hAnsi="Calibri"/>
                <w:bCs/>
                <w:color w:val="000000"/>
                <w:sz w:val="24"/>
                <w:szCs w:val="22"/>
                <w:lang w:val="en-US" w:bidi="hi-IN"/>
              </w:rPr>
              <w:t>Качество и своевременность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eastAsiaTheme="minorHAnsi"/>
                <w:bCs/>
                <w:color w:val="000000"/>
                <w:sz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bCs/>
                <w:color w:val="000000"/>
                <w:sz w:val="24"/>
              </w:rPr>
            </w:pPr>
            <w:r>
              <w:rPr>
                <w:rFonts w:eastAsia="Arial" w:cs="" w:ascii="Calibri" w:hAnsi="Calibri" w:eastAsiaTheme="minorHAnsi"/>
                <w:bCs/>
                <w:color w:val="000000"/>
                <w:sz w:val="24"/>
                <w:szCs w:val="22"/>
                <w:lang w:val="en-US" w:bidi="ar-SA"/>
              </w:rPr>
              <w:t>Отчётный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баллов: 140</w:t>
      </w:r>
    </w:p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</w:r>
    </w:p>
    <w:p>
      <w:pPr>
        <w:pStyle w:val="Normal"/>
        <w:spacing w:beforeAutospacing="1" w:afterAutospacing="1"/>
        <w:rPr>
          <w:sz w:val="24"/>
        </w:rPr>
      </w:pPr>
      <w:r>
        <w:rPr>
          <w:rFonts w:eastAsia="Arial" w:eastAsiaTheme="minorHAnsi"/>
          <w:b/>
          <w:sz w:val="24"/>
          <w:lang w:eastAsia="en-US"/>
        </w:rPr>
        <w:t>Инструктор методист</w:t>
      </w:r>
    </w:p>
    <w:tbl>
      <w:tblPr>
        <w:tblStyle w:val="TableNormal"/>
        <w:tblW w:w="8799" w:type="dxa"/>
        <w:jc w:val="start"/>
        <w:tblInd w:w="137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1" w:noVBand="0" w:lastRow="1" w:firstColumn="1" w:lastColumn="1" w:noHBand="0" w:val="01e0"/>
      </w:tblPr>
      <w:tblGrid>
        <w:gridCol w:w="709"/>
        <w:gridCol w:w="2984"/>
        <w:gridCol w:w="1984"/>
        <w:gridCol w:w="1421"/>
        <w:gridCol w:w="1701"/>
      </w:tblGrid>
      <w:tr>
        <w:trPr>
          <w:trHeight w:val="664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310" w:before="3" w:after="0"/>
              <w:ind w:hanging="70" w:start="220" w:end="132"/>
              <w:jc w:val="start"/>
              <w:rPr>
                <w:b/>
                <w:sz w:val="24"/>
                <w:lang w:eastAsia="en-US"/>
              </w:rPr>
            </w:pPr>
            <w:r>
              <w:rPr>
                <w:rFonts w:cs="" w:ascii="Calibri" w:hAnsi="Calibri"/>
                <w:b/>
                <w:spacing w:val="-6"/>
                <w:sz w:val="24"/>
                <w:szCs w:val="22"/>
                <w:lang w:val="en-US" w:eastAsia="en-US" w:bidi="ar-SA"/>
              </w:rPr>
              <w:t xml:space="preserve">№ </w:t>
            </w:r>
            <w:r>
              <w:rPr>
                <w:rFonts w:cs="" w:ascii="Calibri" w:hAnsi="Calibri"/>
                <w:b/>
                <w:spacing w:val="-4"/>
                <w:sz w:val="24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Критерии и показатели качества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Уровень оценивания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Размер оценки показателей (в баллах)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268" w:leader="none"/>
              </w:tabs>
              <w:suppressAutoHyphens w:val="true"/>
              <w:spacing w:beforeAutospacing="1" w:after="0"/>
              <w:ind w:end="317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Периодичность оценки</w:t>
            </w:r>
          </w:p>
        </w:tc>
      </w:tr>
      <w:tr>
        <w:trPr>
          <w:trHeight w:val="626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1.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Организация и контроль над содержанием тренировочного процесса, контроль над правильным и своевременным  ведением тренерами документации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firstLine="60"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Отсутствие замечаний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en-US" w:eastAsia="en-US" w:bidi="ar-SA"/>
              </w:rPr>
              <w:t>20</w:t>
            </w: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Отчётный        период</w:t>
            </w:r>
          </w:p>
        </w:tc>
      </w:tr>
      <w:tr>
        <w:trPr>
          <w:trHeight w:val="551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2.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8" w:before="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Выполнение особо важных заданий и поручений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Задания выполнены качественно и в установленные сроки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Отчётный        период</w:t>
            </w:r>
          </w:p>
        </w:tc>
      </w:tr>
      <w:tr>
        <w:trPr>
          <w:trHeight w:val="625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3.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За</w:t>
            </w:r>
            <w:r>
              <w:rPr>
                <w:rFonts w:cs="" w:ascii="Calibri" w:hAnsi="Calibri"/>
                <w:spacing w:val="-7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своевременное</w:t>
            </w:r>
            <w:r>
              <w:rPr>
                <w:rFonts w:cs="" w:ascii="Calibri" w:hAnsi="Calibri"/>
                <w:spacing w:val="-7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информирование</w:t>
            </w:r>
            <w:r>
              <w:rPr>
                <w:rFonts w:cs="" w:ascii="Calibri" w:hAnsi="Calibri"/>
                <w:spacing w:val="-7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в</w:t>
            </w:r>
            <w:r>
              <w:rPr>
                <w:rFonts w:cs="" w:ascii="Calibri" w:hAnsi="Calibri"/>
                <w:spacing w:val="-7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СМИ</w:t>
            </w:r>
            <w:r>
              <w:rPr>
                <w:rFonts w:cs="" w:ascii="Calibri" w:hAnsi="Calibri"/>
                <w:spacing w:val="-6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о</w:t>
            </w:r>
            <w:r>
              <w:rPr>
                <w:rFonts w:cs="" w:ascii="Calibri" w:hAnsi="Calibri"/>
                <w:spacing w:val="-4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спортивных достижениях Учреждения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Своевременно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en-US" w:eastAsia="en-US" w:bidi="ar-SA"/>
              </w:rPr>
              <w:t>10</w:t>
            </w: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Отчётный        период</w:t>
            </w:r>
          </w:p>
        </w:tc>
      </w:tr>
      <w:tr>
        <w:trPr>
          <w:trHeight w:val="1104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4.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Повышение квалификации по направлению деятельности, приобретение дополнительных навыков, необходимых для более качественного выполнения обязанностей, предусмотренных трудовым договором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Наличие соответствующего диплома, удостоверения, сертификата, справки, отчётных документов и др.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Отчётный        период</w:t>
            </w:r>
          </w:p>
        </w:tc>
      </w:tr>
      <w:tr>
        <w:trPr>
          <w:trHeight w:val="899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5.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Перевод обучающихся на следующий этап подготовки, сдача контрольно-переводных нормативов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НП-75%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УТ-90%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ССМ-100%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Ежегодно на конец учебного года</w:t>
            </w:r>
          </w:p>
        </w:tc>
      </w:tr>
      <w:tr>
        <w:trPr>
          <w:trHeight w:val="839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6.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>Участие в общегородских мероприятиях физкультурно-спортивной и молодёжной  направленности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Представление Учреждения, показательные выступления, подготовка любых материалов и др.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Отчётный        период</w:t>
            </w:r>
          </w:p>
        </w:tc>
      </w:tr>
      <w:tr>
        <w:trPr>
          <w:trHeight w:val="626" w:hRule="atLeast"/>
        </w:trPr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en-US" w:eastAsia="en-US" w:bidi="ar-SA"/>
              </w:rPr>
              <w:t>7.</w:t>
            </w:r>
          </w:p>
        </w:tc>
        <w:tc>
          <w:tcPr>
            <w:tcW w:w="2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exact" w:line="268" w:before="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eastAsia="en-US" w:bidi="ar-SA"/>
              </w:rPr>
              <w:t xml:space="preserve">Предложения по совершенствованию тренировочного процесса, участие в работе тренерского совета школы 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Внесение предложений, активное участие</w:t>
            </w:r>
          </w:p>
        </w:tc>
        <w:tc>
          <w:tcPr>
            <w:tcW w:w="142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en-US" w:eastAsia="en-US" w:bidi="ar-SA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en-US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баллов: 120</w:t>
      </w:r>
    </w:p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</w:r>
    </w:p>
    <w:p>
      <w:pPr>
        <w:pStyle w:val="Normal"/>
        <w:spacing w:beforeAutospacing="1" w:afterAutospacing="1"/>
        <w:rPr>
          <w:sz w:val="24"/>
        </w:rPr>
      </w:pPr>
      <w:r>
        <w:rPr>
          <w:rFonts w:eastAsia="Arial" w:eastAsiaTheme="minorHAnsi"/>
          <w:b/>
          <w:sz w:val="24"/>
          <w:lang w:eastAsia="en-US"/>
        </w:rPr>
        <w:t>Инструктор по спорту,</w:t>
      </w:r>
      <w:r>
        <w:rPr>
          <w:b/>
          <w:sz w:val="24"/>
        </w:rPr>
        <w:t xml:space="preserve"> инструктор по адаптивной физической культуре</w:t>
      </w:r>
    </w:p>
    <w:tbl>
      <w:tblPr>
        <w:tblStyle w:val="12"/>
        <w:tblW w:w="8930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709"/>
        <w:gridCol w:w="2939"/>
        <w:gridCol w:w="2019"/>
        <w:gridCol w:w="1418"/>
        <w:gridCol w:w="1845"/>
      </w:tblGrid>
      <w:tr>
        <w:trPr>
          <w:trHeight w:val="911" w:hRule="atLeast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lineRule="atLeast" w:line="310" w:before="3" w:after="0"/>
              <w:ind w:start="107" w:end="132"/>
              <w:jc w:val="start"/>
              <w:rPr>
                <w:b/>
                <w:sz w:val="24"/>
                <w:lang w:eastAsia="en-US"/>
              </w:rPr>
            </w:pPr>
            <w:r>
              <w:rPr>
                <w:rFonts w:cs="" w:ascii="Calibri" w:hAnsi="Calibri"/>
                <w:b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cs="" w:ascii="Calibri" w:hAnsi="Calibri"/>
                <w:b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9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 качества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Уровень оценивания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оценки показателей (в баллах)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>
          <w:trHeight w:val="626" w:hRule="atLeast"/>
        </w:trPr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1.</w:t>
            </w:r>
          </w:p>
        </w:tc>
        <w:tc>
          <w:tcPr>
            <w:tcW w:w="2939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Сохранность контингента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НП-75%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УТ-90%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ССМ-100%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30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Ежегодно на конец учебного года</w:t>
            </w:r>
          </w:p>
        </w:tc>
      </w:tr>
      <w:tr>
        <w:trPr>
          <w:trHeight w:val="625" w:hRule="atLeast"/>
        </w:trPr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2.</w:t>
            </w:r>
          </w:p>
        </w:tc>
        <w:tc>
          <w:tcPr>
            <w:tcW w:w="2939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Отсутствие обоснованных жалоб участников тренировочного процесса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Отсутствие замечаний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ru-RU" w:eastAsia="en-US" w:bidi="ar-SA"/>
              </w:rPr>
              <w:t>30</w:t>
            </w: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 xml:space="preserve"> 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1104" w:hRule="atLeast"/>
        </w:trPr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3.</w:t>
            </w:r>
          </w:p>
        </w:tc>
        <w:tc>
          <w:tcPr>
            <w:tcW w:w="2939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70" w:before="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Результаты участия в соревнованиях и других спортивно-массовых мероприятиях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Муниципальные: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Личные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Игровые виды спорта и командные: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Чемпионаты и первенства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Ульяновской области: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Личные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1место-4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2место-3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место-2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Игровые виды: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Спорта и командные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1место-4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 место-3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место-2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Другие областные соревнования, включенные в ЕКП спортивно-массовых мероприятий: Личные: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 xml:space="preserve">1 место-5 баллов     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2место-4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место-3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Игровые виды спорта и командные: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Чемпионаты первенства РФ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Личные и командные: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Участие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 xml:space="preserve">    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7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899" w:hRule="atLeast"/>
        </w:trPr>
        <w:tc>
          <w:tcPr>
            <w:tcW w:w="709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4.</w:t>
            </w:r>
          </w:p>
        </w:tc>
        <w:tc>
          <w:tcPr>
            <w:tcW w:w="2939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Участие в спортивно-массовых мероприятиях муниципального уровня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Процент обучающихся принявших участие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90-100%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70-89%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60-69%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1845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626" w:hRule="atLeast"/>
        </w:trPr>
        <w:tc>
          <w:tcPr>
            <w:tcW w:w="8930" w:type="dxa"/>
            <w:gridSpan w:val="5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Максимальное количество баллов: 140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rFonts w:eastAsia="Arial" w:eastAsiaTheme="minorHAnsi"/>
          <w:b/>
          <w:sz w:val="24"/>
          <w:lang w:eastAsia="en-US"/>
        </w:rPr>
        <w:t>Тренер</w:t>
      </w:r>
    </w:p>
    <w:tbl>
      <w:tblPr>
        <w:tblStyle w:val="12"/>
        <w:tblW w:w="8930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851"/>
        <w:gridCol w:w="2797"/>
        <w:gridCol w:w="2200"/>
        <w:gridCol w:w="1780"/>
        <w:gridCol w:w="1302"/>
      </w:tblGrid>
      <w:tr>
        <w:trPr>
          <w:trHeight w:val="911" w:hRule="atLeast"/>
        </w:trPr>
        <w:tc>
          <w:tcPr>
            <w:tcW w:w="851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lineRule="atLeast" w:line="310" w:before="3" w:after="0"/>
              <w:ind w:start="107" w:end="132"/>
              <w:jc w:val="start"/>
              <w:rPr>
                <w:b/>
                <w:sz w:val="24"/>
                <w:lang w:eastAsia="en-US"/>
              </w:rPr>
            </w:pPr>
            <w:r>
              <w:rPr>
                <w:rFonts w:cs="" w:ascii="Calibri" w:hAnsi="Calibri"/>
                <w:b/>
                <w:sz w:val="24"/>
                <w:szCs w:val="22"/>
                <w:lang w:val="ru-RU" w:eastAsia="en-US" w:bidi="ar-SA"/>
              </w:rPr>
              <w:t xml:space="preserve">№ </w:t>
            </w:r>
            <w:r>
              <w:rPr>
                <w:rFonts w:cs="" w:ascii="Calibri" w:hAnsi="Calibri"/>
                <w:b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79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 качества</w:t>
            </w:r>
          </w:p>
        </w:tc>
        <w:tc>
          <w:tcPr>
            <w:tcW w:w="220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Уровень оценивания</w:t>
            </w:r>
          </w:p>
        </w:tc>
        <w:tc>
          <w:tcPr>
            <w:tcW w:w="17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оценки показателей (в баллах)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>
          <w:trHeight w:val="626" w:hRule="atLeast"/>
        </w:trPr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1.</w:t>
            </w:r>
          </w:p>
        </w:tc>
        <w:tc>
          <w:tcPr>
            <w:tcW w:w="2797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Сохранность контингента</w:t>
            </w:r>
          </w:p>
        </w:tc>
        <w:tc>
          <w:tcPr>
            <w:tcW w:w="22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НП-75%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УТ-90%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ССМ-100%</w:t>
            </w:r>
          </w:p>
        </w:tc>
        <w:tc>
          <w:tcPr>
            <w:tcW w:w="17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30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Ежегодно на конец учебного года</w:t>
            </w:r>
          </w:p>
        </w:tc>
      </w:tr>
      <w:tr>
        <w:trPr>
          <w:trHeight w:val="625" w:hRule="atLeast"/>
        </w:trPr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2.</w:t>
            </w:r>
          </w:p>
        </w:tc>
        <w:tc>
          <w:tcPr>
            <w:tcW w:w="2797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Отсутствие обоснованных жалоб участников тренировочного процесса</w:t>
            </w:r>
          </w:p>
        </w:tc>
        <w:tc>
          <w:tcPr>
            <w:tcW w:w="22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Отсутствие замечаний</w:t>
            </w:r>
          </w:p>
        </w:tc>
        <w:tc>
          <w:tcPr>
            <w:tcW w:w="17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pacing w:val="-10"/>
                <w:sz w:val="24"/>
                <w:szCs w:val="22"/>
                <w:lang w:val="ru-RU" w:eastAsia="en-US" w:bidi="ar-SA"/>
              </w:rPr>
              <w:t>30</w:t>
            </w: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 xml:space="preserve"> 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1104" w:hRule="atLeast"/>
        </w:trPr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3.</w:t>
            </w:r>
          </w:p>
        </w:tc>
        <w:tc>
          <w:tcPr>
            <w:tcW w:w="2797" w:type="dxa"/>
            <w:tcBorders/>
          </w:tcPr>
          <w:p>
            <w:pPr>
              <w:pStyle w:val="Normal"/>
              <w:widowControl w:val="false"/>
              <w:suppressAutoHyphens w:val="true"/>
              <w:spacing w:lineRule="atLeast" w:line="270" w:before="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Результаты участия в соревнованиях и других спортивно-массовых мероприятиях</w:t>
            </w:r>
          </w:p>
        </w:tc>
        <w:tc>
          <w:tcPr>
            <w:tcW w:w="22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Муниципальные: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Личные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Игровые виды спорта и командные: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Чемпионаты и первенства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Ульяновской области: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Личные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1место-4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2место-3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место-2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Игровые виды: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Спорта и командные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1место-4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 место-3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место-2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Другие областные соревнования, включенные в ЕКП спортивно-массовых мероприятий: Личные: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 xml:space="preserve">1 место-5 баллов     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2место-4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место-3 балла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Игровые виды спорта и командные: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Чемпионаты первенства РФ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Личные и командные: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Участие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</w:tc>
        <w:tc>
          <w:tcPr>
            <w:tcW w:w="17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 xml:space="preserve">     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4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7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6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899" w:hRule="atLeast"/>
        </w:trPr>
        <w:tc>
          <w:tcPr>
            <w:tcW w:w="851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10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pacing w:val="-5"/>
                <w:sz w:val="24"/>
                <w:szCs w:val="22"/>
                <w:lang w:val="ru-RU" w:eastAsia="en-US" w:bidi="ar-SA"/>
              </w:rPr>
              <w:t>4.</w:t>
            </w:r>
          </w:p>
        </w:tc>
        <w:tc>
          <w:tcPr>
            <w:tcW w:w="2797" w:type="dxa"/>
            <w:tcBorders/>
          </w:tcPr>
          <w:p>
            <w:pPr>
              <w:pStyle w:val="Normal"/>
              <w:widowControl w:val="false"/>
              <w:suppressAutoHyphens w:val="true"/>
              <w:spacing w:before="30" w:after="0"/>
              <w:ind w:start="107"/>
              <w:jc w:val="start"/>
              <w:rPr>
                <w:sz w:val="24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eastAsia="en-US" w:bidi="ar-SA"/>
              </w:rPr>
              <w:t>Участие в спортивно-массовых мероприятиях муниципального уровня</w:t>
            </w:r>
          </w:p>
        </w:tc>
        <w:tc>
          <w:tcPr>
            <w:tcW w:w="220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Процент обучающихся принявших участие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90-100%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70-89%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60-69%</w:t>
            </w:r>
          </w:p>
        </w:tc>
        <w:tc>
          <w:tcPr>
            <w:tcW w:w="1780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eastAsiaTheme="minorHAnsi"/>
                <w:sz w:val="24"/>
                <w:lang w:eastAsia="en-US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2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Arial" w:eastAsiaTheme="minorHAnsi"/>
                <w:sz w:val="24"/>
                <w:lang w:eastAsia="en-US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1302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rFonts w:eastAsia="Arial" w:eastAsiaTheme="minorHAnsi"/>
                <w:sz w:val="22"/>
                <w:lang w:eastAsia="en-US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>
          <w:trHeight w:val="626" w:hRule="atLeast"/>
        </w:trPr>
        <w:tc>
          <w:tcPr>
            <w:tcW w:w="8930" w:type="dxa"/>
            <w:gridSpan w:val="5"/>
            <w:tcBorders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beforeAutospacing="1" w:afterAutospacing="1"/>
              <w:jc w:val="star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Максимальное количество баллов: 146</w:t>
            </w:r>
          </w:p>
        </w:tc>
      </w:tr>
    </w:tbl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Autospacing="1" w:afterAutospacing="1"/>
        <w:rPr>
          <w:b/>
          <w:sz w:val="24"/>
        </w:rPr>
      </w:pPr>
      <w:r>
        <w:rPr>
          <w:b/>
          <w:sz w:val="24"/>
        </w:rPr>
        <w:t>Заведующий хозяйством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2863"/>
        <w:gridCol w:w="1991"/>
        <w:gridCol w:w="1622"/>
        <w:gridCol w:w="204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2863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 качества</w:t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2863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выполнение требований надзорных органов</w:t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62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2863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Удовлетворённость населения качеством предоставляемых услуг </w:t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2863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Безаварийное функционирование учреждения </w:t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62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2863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Эстетические условия , оформление учреждения, кабинетов и благоустройство территории</w:t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62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2863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Качественное выполнение дополнительных работ в интересах МАУ СШ «Цементник»</w:t>
            </w:r>
          </w:p>
        </w:tc>
        <w:tc>
          <w:tcPr>
            <w:tcW w:w="1991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286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Информационная открытость </w:t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Своевременное, качественное размещение  и обновление на сайте учреждения</w:t>
            </w:r>
          </w:p>
        </w:tc>
        <w:tc>
          <w:tcPr>
            <w:tcW w:w="1622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2863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 соблюдение правил эксплуатации и хранения инструментов, оборудования, запасных частей</w:t>
            </w:r>
          </w:p>
        </w:tc>
        <w:tc>
          <w:tcPr>
            <w:tcW w:w="199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предписаний со стороны проверяющих организаций</w:t>
            </w:r>
          </w:p>
        </w:tc>
        <w:tc>
          <w:tcPr>
            <w:tcW w:w="162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4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70</w:t>
      </w:r>
    </w:p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</w:r>
    </w:p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</w:r>
    </w:p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Заведующий ФОК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2830"/>
        <w:gridCol w:w="2047"/>
        <w:gridCol w:w="1610"/>
        <w:gridCol w:w="2034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 качества</w:t>
            </w:r>
          </w:p>
        </w:tc>
        <w:tc>
          <w:tcPr>
            <w:tcW w:w="20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61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 выполнение требований надзорных органов</w:t>
            </w:r>
          </w:p>
        </w:tc>
        <w:tc>
          <w:tcPr>
            <w:tcW w:w="20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Удовлетворённость населения качеством предоставляемых услуг </w:t>
            </w:r>
          </w:p>
        </w:tc>
        <w:tc>
          <w:tcPr>
            <w:tcW w:w="20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61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Безаварийное функционирование учреждения </w:t>
            </w:r>
          </w:p>
        </w:tc>
        <w:tc>
          <w:tcPr>
            <w:tcW w:w="20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Эстетические условия , оформление учреждения, кабинетов и благоустройство территории</w:t>
            </w:r>
          </w:p>
        </w:tc>
        <w:tc>
          <w:tcPr>
            <w:tcW w:w="20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61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Качественное выполнение дополнительных работ в интересах МАУ СШ «Цементник»</w:t>
            </w:r>
          </w:p>
        </w:tc>
        <w:tc>
          <w:tcPr>
            <w:tcW w:w="204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Качественно и в установленные сроки</w:t>
            </w:r>
          </w:p>
        </w:tc>
        <w:tc>
          <w:tcPr>
            <w:tcW w:w="161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283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Информационная открытость </w:t>
            </w:r>
          </w:p>
        </w:tc>
        <w:tc>
          <w:tcPr>
            <w:tcW w:w="204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Своевременное, качественное размещение  и обновление на сайте учреждения</w:t>
            </w:r>
          </w:p>
        </w:tc>
        <w:tc>
          <w:tcPr>
            <w:tcW w:w="161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7</w:t>
            </w:r>
          </w:p>
        </w:tc>
        <w:tc>
          <w:tcPr>
            <w:tcW w:w="283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Autospacing="1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Своевременная и качественная подготовка для проведения мест, соревнований и мероприятий разных уровней</w:t>
            </w:r>
          </w:p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047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Autospacing="1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Региональный уровень</w:t>
            </w:r>
          </w:p>
          <w:p>
            <w:pPr>
              <w:pStyle w:val="Normal"/>
              <w:widowControl/>
              <w:suppressAutoHyphens w:val="true"/>
              <w:spacing w:beforeAutospacing="1" w:afterAutospacing="1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Муниципальный уровень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Внутришкольный уровень</w:t>
            </w:r>
          </w:p>
        </w:tc>
        <w:tc>
          <w:tcPr>
            <w:tcW w:w="161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Autospacing="1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star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203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Autospacing="1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(протоколы, положения о проведении соревнований)</w:t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70</w:t>
      </w:r>
    </w:p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Вспомогательный персонал (Секретарь руководителя, делопроизводитель, специалист по охране труда и пожарной безопасности, администратор, инженер по подготовке воды, медицинская сестра, подсобный рабочий, сторож, слесарь сантехник, уборщик служебных помещений, радиотехник, инженер электрик, электромонтёр, слесарь по ремонту и обслуживанию вентиляции и кондиционирования, гардеробщик).</w:t>
      </w:r>
    </w:p>
    <w:tbl>
      <w:tblPr>
        <w:tblStyle w:val="12"/>
        <w:tblW w:w="90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39"/>
        <w:gridCol w:w="3374"/>
        <w:gridCol w:w="1886"/>
        <w:gridCol w:w="1456"/>
        <w:gridCol w:w="1805"/>
      </w:tblGrid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 xml:space="preserve">№ </w:t>
            </w: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п/п</w:t>
            </w:r>
          </w:p>
        </w:tc>
        <w:tc>
          <w:tcPr>
            <w:tcW w:w="337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и показатели качества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Критерии эффективности деятельности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Размер показателей в процентах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Периодичность оценки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</w:t>
            </w:r>
          </w:p>
        </w:tc>
        <w:tc>
          <w:tcPr>
            <w:tcW w:w="337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 высокий уровень исполнительской дисциплины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</w:t>
            </w:r>
          </w:p>
        </w:tc>
        <w:tc>
          <w:tcPr>
            <w:tcW w:w="337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 отсутствие жалоб со стороны работников и родителей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 Отсутствие замечаний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10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</w:t>
            </w:r>
          </w:p>
        </w:tc>
        <w:tc>
          <w:tcPr>
            <w:tcW w:w="337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Рациональное использование электроэнергии, воды и материальных средств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замечаний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4</w:t>
            </w:r>
          </w:p>
        </w:tc>
        <w:tc>
          <w:tcPr>
            <w:tcW w:w="337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За соблюдение правил эксплуатации и хранения инструментов, оборудования, запасных частей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Отсутствие предписаний со стороны проверяющих организаций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5</w:t>
            </w:r>
          </w:p>
        </w:tc>
        <w:tc>
          <w:tcPr>
            <w:tcW w:w="337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Помощь в организации и подготовке соревнований различного уровня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участие</w:t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25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Отчётный        период</w:t>
            </w:r>
          </w:p>
        </w:tc>
      </w:tr>
      <w:tr>
        <w:trPr/>
        <w:tc>
          <w:tcPr>
            <w:tcW w:w="539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6</w:t>
            </w:r>
          </w:p>
        </w:tc>
        <w:tc>
          <w:tcPr>
            <w:tcW w:w="3374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4"/>
              </w:rPr>
            </w:pPr>
            <w:r>
              <w:rPr>
                <w:rFonts w:eastAsia="Arial" w:cs="" w:ascii="Calibri" w:hAnsi="Calibri" w:eastAsiaTheme="minorHAnsi"/>
                <w:sz w:val="24"/>
                <w:szCs w:val="22"/>
                <w:lang w:val="ru-RU" w:eastAsia="en-US" w:bidi="ar-SA"/>
              </w:rPr>
              <w:t>Обеспечение выполнения требований пожарной безопасности и</w:t>
              <w:br/>
              <w:t>электробезопасности.</w:t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56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</w:rPr>
            </w:pPr>
            <w:r>
              <w:rPr>
                <w:rFonts w:cs="" w:ascii="Calibri" w:hAnsi="Calibri"/>
                <w:sz w:val="24"/>
                <w:szCs w:val="22"/>
                <w:lang w:val="ru-RU" w:bidi="ar-SA"/>
              </w:rPr>
              <w:t>30</w:t>
            </w:r>
          </w:p>
        </w:tc>
        <w:tc>
          <w:tcPr>
            <w:tcW w:w="1805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  <w:t>Максимальное количество процентов: 115».</w:t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567" w:leader="none"/>
          <w:tab w:val="left" w:pos="817" w:leader="none"/>
        </w:tabs>
        <w:spacing w:lineRule="exact" w:line="257"/>
        <w:jc w:val="both"/>
        <w:rPr>
          <w:color w:val="000000"/>
          <w:sz w:val="24"/>
          <w:lang w:bidi="ru-RU"/>
        </w:rPr>
      </w:pPr>
      <w:r>
        <w:rPr>
          <w:color w:val="000000"/>
          <w:sz w:val="24"/>
          <w:lang w:bidi="ru-RU"/>
        </w:rPr>
        <w:t xml:space="preserve">         </w:t>
      </w:r>
      <w:r>
        <w:rPr>
          <w:bCs/>
          <w:spacing w:val="2"/>
          <w:sz w:val="24"/>
        </w:rPr>
        <w:t>4) Приложение № 10 к Положению изложить в следующей редакции:</w:t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426" w:leader="none"/>
          <w:tab w:val="left" w:pos="817" w:leader="none"/>
          <w:tab w:val="left" w:pos="6300" w:leader="none"/>
        </w:tabs>
        <w:spacing w:lineRule="exact" w:line="257"/>
        <w:ind w:start="900"/>
        <w:jc w:val="both"/>
        <w:rPr>
          <w:spacing w:val="2"/>
          <w:sz w:val="24"/>
        </w:rPr>
      </w:pPr>
      <w:r>
        <w:rPr>
          <w:spacing w:val="2"/>
          <w:sz w:val="24"/>
        </w:rPr>
        <w:tab/>
        <w:t xml:space="preserve">         </w:t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426" w:leader="none"/>
          <w:tab w:val="left" w:pos="817" w:leader="none"/>
          <w:tab w:val="left" w:pos="6300" w:leader="none"/>
        </w:tabs>
        <w:spacing w:lineRule="exact" w:line="257"/>
        <w:ind w:start="900"/>
        <w:jc w:val="both"/>
        <w:rPr>
          <w:spacing w:val="2"/>
          <w:sz w:val="24"/>
        </w:rPr>
      </w:pPr>
      <w:r>
        <w:rPr>
          <w:spacing w:val="2"/>
          <w:sz w:val="24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426" w:leader="none"/>
          <w:tab w:val="left" w:pos="817" w:leader="none"/>
          <w:tab w:val="left" w:pos="6300" w:leader="none"/>
        </w:tabs>
        <w:spacing w:lineRule="exact" w:line="257"/>
        <w:ind w:start="900"/>
        <w:jc w:val="both"/>
        <w:rPr>
          <w:spacing w:val="2"/>
          <w:sz w:val="24"/>
        </w:rPr>
      </w:pPr>
      <w:r>
        <w:rPr>
          <w:spacing w:val="2"/>
          <w:sz w:val="24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426" w:leader="none"/>
          <w:tab w:val="left" w:pos="817" w:leader="none"/>
          <w:tab w:val="left" w:pos="6300" w:leader="none"/>
        </w:tabs>
        <w:spacing w:lineRule="exact" w:line="257"/>
        <w:ind w:start="900"/>
        <w:jc w:val="both"/>
        <w:rPr>
          <w:spacing w:val="2"/>
          <w:sz w:val="24"/>
        </w:rPr>
      </w:pPr>
      <w:r>
        <w:rPr>
          <w:spacing w:val="2"/>
          <w:sz w:val="24"/>
        </w:rPr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426" w:leader="none"/>
          <w:tab w:val="left" w:pos="817" w:leader="none"/>
          <w:tab w:val="left" w:pos="6300" w:leader="none"/>
        </w:tabs>
        <w:spacing w:lineRule="exact" w:line="257"/>
        <w:ind w:start="900"/>
        <w:jc w:val="end"/>
        <w:rPr>
          <w:spacing w:val="2"/>
          <w:sz w:val="24"/>
        </w:rPr>
      </w:pPr>
      <w:r>
        <w:rPr>
          <w:spacing w:val="2"/>
          <w:sz w:val="24"/>
        </w:rPr>
        <w:t xml:space="preserve"> </w:t>
      </w:r>
      <w:r>
        <w:rPr>
          <w:spacing w:val="2"/>
          <w:sz w:val="24"/>
        </w:rPr>
        <w:t>«Приложение № 10</w:t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426" w:leader="none"/>
          <w:tab w:val="left" w:pos="817" w:leader="none"/>
          <w:tab w:val="left" w:pos="6300" w:leader="none"/>
        </w:tabs>
        <w:spacing w:lineRule="exact" w:line="257"/>
        <w:ind w:start="900"/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 </w:t>
      </w:r>
      <w:r>
        <w:rPr>
          <w:spacing w:val="2"/>
          <w:sz w:val="24"/>
        </w:rPr>
        <w:tab/>
        <w:t xml:space="preserve">                  к Положению</w:t>
      </w:r>
    </w:p>
    <w:p>
      <w:pPr>
        <w:pStyle w:val="ListParagraph"/>
        <w:widowControl w:val="false"/>
        <w:tabs>
          <w:tab w:val="clear" w:pos="708"/>
          <w:tab w:val="left" w:pos="284" w:leader="none"/>
          <w:tab w:val="left" w:pos="426" w:leader="none"/>
          <w:tab w:val="left" w:pos="817" w:leader="none"/>
          <w:tab w:val="left" w:pos="6300" w:leader="none"/>
        </w:tabs>
        <w:spacing w:lineRule="exact" w:line="257"/>
        <w:ind w:start="900"/>
        <w:jc w:val="both"/>
        <w:rPr>
          <w:spacing w:val="2"/>
          <w:sz w:val="24"/>
        </w:rPr>
      </w:pPr>
      <w:r>
        <w:rPr>
          <w:spacing w:val="2"/>
          <w:sz w:val="24"/>
        </w:rPr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567" w:leader="none"/>
          <w:tab w:val="left" w:pos="709" w:leader="none"/>
        </w:tabs>
        <w:spacing w:lineRule="exact" w:line="257"/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    </w:t>
      </w:r>
      <w:r>
        <w:rPr>
          <w:spacing w:val="2"/>
          <w:sz w:val="24"/>
        </w:rPr>
        <w:t xml:space="preserve">1. Выплата за интенсивность </w:t>
      </w:r>
      <w:r>
        <w:rPr>
          <w:color w:val="000000"/>
          <w:sz w:val="24"/>
          <w:lang w:bidi="ru-RU"/>
        </w:rPr>
        <w:t>и высокие результаты</w:t>
      </w:r>
      <w:r>
        <w:rPr>
          <w:spacing w:val="2"/>
          <w:sz w:val="24"/>
        </w:rPr>
        <w:t xml:space="preserve"> руководителю Учреждения устанавливается в размере не более 150 % должностного оклада руководителя Учреждения и указывается в трудовом договоре (дополнительном соглашении к трудовому договору) с руководителем Учреждения. </w:t>
      </w:r>
    </w:p>
    <w:p>
      <w:pPr>
        <w:pStyle w:val="ConsPlusNormal"/>
        <w:ind w:hanging="0" w:end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2. Периодичность начисления выплаты за интенсивность и высокие результаты устанавливается ежемесячно с учетом результатов работы за прошедший месяц.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sz w:val="24"/>
          <w:szCs w:val="24"/>
        </w:rPr>
        <w:t>3. Размер выплаты за интенсивность и высокие результаты руководителю Учреждения исчисляется за фактически отработанное время.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>
        <w:rPr>
          <w:rFonts w:cs="Times New Roman" w:ascii="Times New Roman" w:hAnsi="Times New Roman"/>
          <w:bCs/>
          <w:spacing w:val="2"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Cs/>
          <w:spacing w:val="2"/>
          <w:sz w:val="24"/>
          <w:szCs w:val="24"/>
        </w:rPr>
        <w:t xml:space="preserve">4. 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Размер </w:t>
      </w:r>
      <w:r>
        <w:rPr>
          <w:rFonts w:cs="Times New Roman" w:ascii="Times New Roman" w:hAnsi="Times New Roman"/>
          <w:sz w:val="24"/>
          <w:szCs w:val="24"/>
        </w:rPr>
        <w:t>выплаты за интенсивность и высокие результаты руководителю Учреждения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может быть снижен по результатам работы на основании следующих показателей:</w:t>
      </w:r>
    </w:p>
    <w:p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наличие необоснованной просроченной кредиторской задолженности Учреждения;</w:t>
      </w:r>
    </w:p>
    <w:p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невыполнение плана финансово-хозяйственной деятельности Учреждения за предыдущий отчетный период - до 20% от должностного оклада руководителя Учреждения;</w:t>
      </w:r>
    </w:p>
    <w:p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невыполнение плана по выполнению муниципального задания - до 20% от должностного оклада руководителя Учреждения;</w:t>
      </w:r>
    </w:p>
    <w:p>
      <w:pPr>
        <w:pStyle w:val="ConsPlusNormal"/>
        <w:ind w:firstLine="7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невыполнение (несвоевременное выполнение) условий трудового договора, поручений Главы Администрации муниципального образования «Город Новоульяновск» Ульяновской области - 10% от должностного оклада руководителя Учреждения;</w:t>
      </w:r>
    </w:p>
    <w:p>
      <w:pPr>
        <w:pStyle w:val="ConsPlusNormal"/>
        <w:ind w:firstLine="743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наличие нарушений законодательства Российской Федерации, выявленных по результатам проверок Учреждения -  от 10% до 20% должностного оклада руководителя Учреждения</w:t>
      </w:r>
      <w:r>
        <w:rPr>
          <w:rFonts w:cs="Times New Roman" w:ascii="Times New Roman" w:hAnsi="Times New Roman"/>
          <w:bCs/>
          <w:spacing w:val="2"/>
          <w:sz w:val="24"/>
          <w:szCs w:val="24"/>
        </w:rPr>
        <w:t>.</w:t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426" w:leader="none"/>
          <w:tab w:val="left" w:pos="817" w:leader="none"/>
          <w:tab w:val="left" w:pos="6300" w:leader="none"/>
        </w:tabs>
        <w:jc w:val="both"/>
        <w:rPr>
          <w:spacing w:val="2"/>
          <w:sz w:val="24"/>
        </w:rPr>
      </w:pPr>
      <w:r>
        <w:rPr>
          <w:spacing w:val="2"/>
          <w:sz w:val="24"/>
        </w:rPr>
        <w:t xml:space="preserve">        </w:t>
      </w:r>
      <w:r>
        <w:rPr>
          <w:spacing w:val="2"/>
          <w:sz w:val="24"/>
        </w:rPr>
        <w:t>5. Выплата за качество выполняемых работ руководителю Учреждения устанавливается в размере не более 150 % должностного оклада руководителя Учреждения и указывается в трудовом договоре (дополнительном соглашении к трудовому договору) с руководителем Учреждения.</w:t>
      </w:r>
    </w:p>
    <w:p>
      <w:pPr>
        <w:pStyle w:val="ConsPlusNormal"/>
        <w:ind w:hanging="0" w:end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6. Периодичность начисления выплаты за качество работы устанавливается ежемесячно.</w:t>
      </w:r>
    </w:p>
    <w:p>
      <w:pPr>
        <w:pStyle w:val="ConsPlusNormal"/>
        <w:tabs>
          <w:tab w:val="clear" w:pos="708"/>
          <w:tab w:val="left" w:pos="567" w:leader="none"/>
        </w:tabs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7. Размер за качество выполняемых работ руководителю Учреждения исчисляется за фактически отработанное время.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>
        <w:rPr>
          <w:rFonts w:cs="Times New Roman" w:ascii="Times New Roman" w:hAnsi="Times New Roman"/>
          <w:bCs/>
          <w:spacing w:val="2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Cs/>
          <w:spacing w:val="2"/>
          <w:sz w:val="24"/>
          <w:szCs w:val="24"/>
        </w:rPr>
        <w:t xml:space="preserve">8. 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Размер за </w:t>
      </w:r>
      <w:r>
        <w:rPr>
          <w:rFonts w:cs="Times New Roman" w:ascii="Times New Roman" w:hAnsi="Times New Roman"/>
          <w:sz w:val="24"/>
          <w:szCs w:val="24"/>
        </w:rPr>
        <w:t>качество выполняемых работ руководителю Учреждения</w:t>
      </w:r>
      <w:r>
        <w:rPr>
          <w:rFonts w:cs="Times New Roman" w:ascii="Times New Roman" w:hAnsi="Times New Roman"/>
          <w:spacing w:val="2"/>
          <w:sz w:val="24"/>
          <w:szCs w:val="24"/>
        </w:rPr>
        <w:t xml:space="preserve"> может быть снижен при невыполнении плановых заданий. Размер выплаты снижается пропорционально проценту выполнения.».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>
        <w:rPr>
          <w:rFonts w:cs="Times New Roman" w:ascii="Times New Roman" w:hAnsi="Times New Roman"/>
          <w:spacing w:val="2"/>
          <w:sz w:val="24"/>
          <w:szCs w:val="24"/>
        </w:rPr>
        <w:tab/>
      </w:r>
      <w:r>
        <w:rPr>
          <w:rFonts w:ascii="Times New Roman" w:hAnsi="Times New Roman"/>
          <w:sz w:val="24"/>
        </w:rPr>
        <w:t>2. Отменить постановление Администрации муниципального образования «Город Новоульяновск» Ульяновской области от 05 февраля 2025 г. № 61-П «О внесении изменений в постановление Администрации муниципального образования «Город Новоульяновск» Ульяновской области от 13 октября 2023г. № 765-П со дня его принятия.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>
        <w:rPr>
          <w:rFonts w:ascii="Times New Roman" w:hAnsi="Times New Roman"/>
          <w:sz w:val="24"/>
        </w:rPr>
        <w:tab/>
        <w:t>3. Настоящие постановление вступает в силу на следующий день после дня его официального опубликования.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>
        <w:rPr>
          <w:rFonts w:ascii="Times New Roman" w:hAnsi="Times New Roman"/>
          <w:sz w:val="24"/>
        </w:rPr>
        <w:tab/>
        <w:t>4. Контроль за исполнением настоящего постановления возложить на Первого заместителя Главы Администрации.</w:t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>
        <w:rPr>
          <w:rFonts w:cs="Times New Roman" w:ascii="Times New Roman" w:hAnsi="Times New Roman"/>
          <w:bCs/>
          <w:spacing w:val="2"/>
          <w:sz w:val="24"/>
          <w:szCs w:val="24"/>
        </w:rPr>
      </w:r>
    </w:p>
    <w:p>
      <w:pPr>
        <w:pStyle w:val="ConsPlusNormal"/>
        <w:ind w:hanging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>
        <w:rPr>
          <w:rFonts w:cs="Times New Roman" w:ascii="Times New Roman" w:hAnsi="Times New Roman"/>
          <w:bCs/>
          <w:spacing w:val="2"/>
          <w:sz w:val="24"/>
          <w:szCs w:val="24"/>
        </w:rPr>
      </w:r>
    </w:p>
    <w:p>
      <w:pPr>
        <w:pStyle w:val="ConsPlusNormal"/>
        <w:ind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ConsPlusNormal"/>
        <w:ind w:hanging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Администрации                                                                         С. А. Ильюшкин</w:t>
      </w:r>
    </w:p>
    <w:p>
      <w:pPr>
        <w:pStyle w:val="Normal"/>
        <w:spacing w:beforeAutospacing="1" w:afterAutospacing="1"/>
        <w:rPr>
          <w:sz w:val="24"/>
        </w:rPr>
      </w:pPr>
      <w:r>
        <w:rPr>
          <w:sz w:val="24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172" w:footer="567" w:bottom="62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Franklin Gothic Book">
    <w:charset w:val="01"/>
    <w:family w:val="swiss"/>
    <w:pitch w:val="default"/>
  </w:font>
  <w:font w:name="Arial">
    <w:charset w:val="01"/>
    <w:family w:val="swiss"/>
    <w:pitch w:val="default"/>
  </w:font>
  <w:font w:name="Arial">
    <w:charset w:val="01"/>
    <w:family w:val="roman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start="0" w:end="0"/>
      <w:jc w:val="both"/>
      <w:rPr>
        <w:sz w:val="28"/>
        <w:szCs w:val="28"/>
      </w:rPr>
    </w:pPr>
    <w:r>
      <w:rPr>
        <w:sz w:val="28"/>
        <w:szCs w:val="28"/>
      </w:rPr>
      <w:t>000458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start="0" w:end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  <w:rPr>
        <w:smallCaps w:val="false"/>
        <w:caps w:val="false"/>
        <w:dstrike w:val="false"/>
        <w:strike w:val="false"/>
        <w:sz w:val="22"/>
        <w:spacing w:val="0"/>
        <w:i w:val="false"/>
        <w:u w:val="non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1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" w:cs="Times New Roman" w:eastAsiaTheme="minorHAnsi"/>
        <w:kern w:val="2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24b90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424b90"/>
    <w:pPr>
      <w:keepNext w:val="true"/>
      <w:shd w:val="clear" w:color="auto" w:fill="FFFFFF"/>
      <w:ind w:end="19"/>
      <w:outlineLvl w:val="0"/>
    </w:pPr>
    <w:rPr>
      <w:color w:val="000000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424b90"/>
    <w:rPr>
      <w:rFonts w:eastAsia="Times New Roman"/>
      <w:color w:val="000000"/>
      <w:kern w:val="0"/>
      <w:sz w:val="28"/>
      <w:szCs w:val="28"/>
      <w:shd w:fill="FFFFFF" w:val="clear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24b90"/>
    <w:rPr>
      <w:rFonts w:ascii="Tahoma" w:hAnsi="Tahoma" w:eastAsia="Times New Roman" w:cs="Tahoma"/>
      <w:kern w:val="0"/>
      <w:sz w:val="16"/>
      <w:szCs w:val="16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690e89"/>
    <w:rPr>
      <w:rFonts w:eastAsia="Times New Roman"/>
      <w:kern w:val="0"/>
      <w:sz w:val="28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690e89"/>
    <w:rPr>
      <w:rFonts w:eastAsia="Times New Roman"/>
      <w:kern w:val="0"/>
      <w:sz w:val="28"/>
      <w:lang w:eastAsia="ru-RU"/>
    </w:rPr>
  </w:style>
  <w:style w:type="character" w:styleId="2Exact" w:customStyle="1">
    <w:name w:val="Основной текст (2) Exact"/>
    <w:basedOn w:val="DefaultParagraphFont"/>
    <w:qFormat/>
    <w:rsid w:val="00f852ce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Exact" w:customStyle="1">
    <w:name w:val="Подпись к таблице Exact"/>
    <w:basedOn w:val="DefaultParagraphFont"/>
    <w:qFormat/>
    <w:rsid w:val="00f852ce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" w:customStyle="1">
    <w:name w:val="Основной текст (2)_"/>
    <w:basedOn w:val="DefaultParagraphFont"/>
    <w:link w:val="21"/>
    <w:qFormat/>
    <w:rsid w:val="00f852ce"/>
    <w:rPr>
      <w:rFonts w:eastAsia="Times New Roman"/>
      <w:sz w:val="22"/>
      <w:szCs w:val="22"/>
      <w:shd w:fill="FFFFFF" w:val="clear"/>
    </w:rPr>
  </w:style>
  <w:style w:type="character" w:styleId="285pt" w:customStyle="1">
    <w:name w:val="Основной текст (2) + 8;5 pt;Полужирный"/>
    <w:basedOn w:val="2"/>
    <w:qFormat/>
    <w:rsid w:val="00f852ce"/>
    <w:rPr>
      <w:rFonts w:eastAsia="Times New Roman"/>
      <w:b/>
      <w:bCs/>
      <w:color w:val="000000"/>
      <w:spacing w:val="0"/>
      <w:w w:val="100"/>
      <w:sz w:val="17"/>
      <w:szCs w:val="17"/>
      <w:shd w:fill="FFFFFF" w:val="clear"/>
      <w:lang w:val="ru-RU" w:eastAsia="ru-RU" w:bidi="ru-RU"/>
    </w:rPr>
  </w:style>
  <w:style w:type="character" w:styleId="Style16" w:customStyle="1">
    <w:name w:val="Подпись к таблице_"/>
    <w:basedOn w:val="DefaultParagraphFont"/>
    <w:link w:val="Style23"/>
    <w:qFormat/>
    <w:rsid w:val="00f852ce"/>
    <w:rPr>
      <w:rFonts w:eastAsia="Times New Roman"/>
      <w:sz w:val="22"/>
      <w:szCs w:val="22"/>
      <w:shd w:fill="FFFFFF" w:val="clear"/>
    </w:rPr>
  </w:style>
  <w:style w:type="character" w:styleId="2FranklinGothicBook11ptExact" w:customStyle="1">
    <w:name w:val="Основной текст (2) + Franklin Gothic Book;11 pt;Курсив Exact"/>
    <w:basedOn w:val="2"/>
    <w:qFormat/>
    <w:rsid w:val="0035205d"/>
    <w:rPr>
      <w:rFonts w:ascii="Franklin Gothic Book" w:hAnsi="Franklin Gothic Book" w:eastAsia="Franklin Gothic Book" w:cs="Franklin Gothic Book"/>
      <w:b w:val="false"/>
      <w:bCs w:val="false"/>
      <w:i/>
      <w:iCs/>
      <w:caps w:val="false"/>
      <w:smallCaps w:val="false"/>
      <w:strike w:val="false"/>
      <w:dstrike w:val="false"/>
      <w:sz w:val="22"/>
      <w:szCs w:val="22"/>
      <w:u w:val="none"/>
      <w:shd w:fill="FFFFFF" w:val="clear"/>
    </w:rPr>
  </w:style>
  <w:style w:type="character" w:styleId="Hyperlink">
    <w:name w:val="Hyperlink"/>
    <w:basedOn w:val="DefaultParagraphFont"/>
    <w:uiPriority w:val="99"/>
    <w:semiHidden/>
    <w:unhideWhenUsed/>
    <w:rsid w:val="00986256"/>
    <w:rPr>
      <w:color w:val="0000FF"/>
      <w:u w:val="single"/>
    </w:rPr>
  </w:style>
  <w:style w:type="character" w:styleId="Style17" w:customStyle="1">
    <w:name w:val="Гипертекстовая ссылка"/>
    <w:qFormat/>
    <w:rsid w:val="00986256"/>
    <w:rPr>
      <w:rFonts w:cs="Times New Roman"/>
      <w:b/>
      <w:bCs/>
      <w:color w:val="008000"/>
    </w:rPr>
  </w:style>
  <w:style w:type="character" w:styleId="Style18" w:customStyle="1">
    <w:name w:val="Основной текст Знак"/>
    <w:basedOn w:val="DefaultParagraphFont"/>
    <w:uiPriority w:val="1"/>
    <w:qFormat/>
    <w:rsid w:val="00986256"/>
    <w:rPr>
      <w:rFonts w:eastAsia="Times New Roman"/>
      <w:kern w:val="0"/>
    </w:rPr>
  </w:style>
  <w:style w:type="character" w:styleId="markedcontent" w:customStyle="1">
    <w:name w:val="markedcontent"/>
    <w:basedOn w:val="DefaultParagraphFont"/>
    <w:qFormat/>
    <w:rsid w:val="00986256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link w:val="Style18"/>
    <w:uiPriority w:val="1"/>
    <w:qFormat/>
    <w:rsid w:val="00986256"/>
    <w:pPr>
      <w:widowControl w:val="false"/>
    </w:pPr>
    <w:rPr>
      <w:sz w:val="24"/>
      <w:lang w:eastAsia="en-US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Style20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Microsoft YaHei" w:cs="Arial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24b90"/>
    <w:pPr/>
    <w:rPr>
      <w:rFonts w:ascii="Tahoma" w:hAnsi="Tahoma" w:cs="Tahoma"/>
      <w:sz w:val="16"/>
      <w:szCs w:val="16"/>
    </w:rPr>
  </w:style>
  <w:style w:type="paragraph" w:styleId="Style21" w:customStyle="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690e8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690e8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 (2)"/>
    <w:basedOn w:val="Normal"/>
    <w:link w:val="2"/>
    <w:qFormat/>
    <w:rsid w:val="00f852ce"/>
    <w:pPr>
      <w:widowControl w:val="false"/>
      <w:shd w:val="clear" w:color="auto" w:fill="FFFFFF"/>
      <w:spacing w:lineRule="atLeast" w:line="0" w:before="0" w:after="300"/>
    </w:pPr>
    <w:rPr>
      <w:kern w:val="2"/>
      <w:sz w:val="22"/>
      <w:szCs w:val="22"/>
      <w:lang w:eastAsia="en-US"/>
    </w:rPr>
  </w:style>
  <w:style w:type="paragraph" w:styleId="Style23" w:customStyle="1">
    <w:name w:val="Подпись к таблице"/>
    <w:basedOn w:val="Normal"/>
    <w:link w:val="Style16"/>
    <w:qFormat/>
    <w:rsid w:val="00f852ce"/>
    <w:pPr>
      <w:widowControl w:val="false"/>
      <w:shd w:val="clear" w:color="auto" w:fill="FFFFFF"/>
      <w:spacing w:lineRule="exact" w:line="257"/>
      <w:ind w:firstLine="520"/>
      <w:jc w:val="both"/>
    </w:pPr>
    <w:rPr>
      <w:kern w:val="2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c6aeb"/>
    <w:pPr>
      <w:spacing w:before="0" w:after="0"/>
      <w:ind w:start="720"/>
      <w:contextualSpacing/>
    </w:pPr>
    <w:rPr/>
  </w:style>
  <w:style w:type="paragraph" w:styleId="ConsPlusNormal" w:customStyle="1">
    <w:name w:val="ConsPlusNormal"/>
    <w:qFormat/>
    <w:rsid w:val="003b3553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Arial" w:cs="Arial"/>
      <w:color w:val="auto"/>
      <w:kern w:val="0"/>
      <w:sz w:val="18"/>
      <w:szCs w:val="18"/>
      <w:lang w:val="ru-RU" w:eastAsia="ar-SA" w:bidi="ar-SA"/>
    </w:rPr>
  </w:style>
  <w:style w:type="paragraph" w:styleId="NormalWeb">
    <w:name w:val="Normal (Web)"/>
    <w:basedOn w:val="Normal"/>
    <w:uiPriority w:val="99"/>
    <w:unhideWhenUsed/>
    <w:qFormat/>
    <w:rsid w:val="00986256"/>
    <w:pPr>
      <w:spacing w:beforeAutospacing="1" w:afterAutospacing="1"/>
    </w:pPr>
    <w:rPr>
      <w:sz w:val="24"/>
    </w:rPr>
  </w:style>
  <w:style w:type="paragraph" w:styleId="TableParagraph" w:customStyle="1">
    <w:name w:val="Table Paragraph"/>
    <w:basedOn w:val="Normal"/>
    <w:uiPriority w:val="1"/>
    <w:qFormat/>
    <w:rsid w:val="00986256"/>
    <w:pPr>
      <w:widowControl w:val="false"/>
      <w:ind w:start="107"/>
    </w:pPr>
    <w:rPr>
      <w:sz w:val="22"/>
      <w:szCs w:val="22"/>
      <w:lang w:eastAsia="en-US"/>
    </w:rPr>
  </w:style>
  <w:style w:type="paragraph" w:styleId="Style24" w:customStyle="1">
    <w:name w:val="Содержимое врезки"/>
    <w:basedOn w:val="Normal"/>
    <w:qFormat/>
    <w:pPr/>
    <w:rPr/>
  </w:style>
  <w:style w:type="paragraph" w:styleId="user3">
    <w:name w:val="Содержимое врезки (user)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98625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39"/>
    <w:rsid w:val="00002c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39"/>
    <w:rsid w:val="00986256"/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986256"/>
    <w:rPr>
      <w:rFonts w:asciiTheme="minorHAnsi" w:hAnsiTheme="minorHAnsi" w:cstheme="minorBidi"/>
      <w:lang w:val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E7CCD-2CBB-4A33-9A27-3EDB3EC7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LibreOffice/25.8.1.1$Windows_X86_64 LibreOffice_project/54047653041915e595ad4e45cccea684809c77b5</Application>
  <AppVersion>15.0000</AppVersion>
  <Pages>32</Pages>
  <Words>5267</Words>
  <Characters>37537</Characters>
  <CharactersWithSpaces>43309</CharactersWithSpaces>
  <Paragraphs>1482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2026-06-15T04:41:00Z</dcterms:created>
  <dc:creator>Бухгалтер</dc:creator>
  <dc:description/>
  <dc:language>ru-RU</dc:language>
  <cp:lastModifiedBy/>
  <cp:lastPrinted>2026-06-15T11:15:31Z</cp:lastPrinted>
  <dcterms:modified xsi:type="dcterms:W3CDTF">2026-07-23T14:52:54Z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