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9854"/>
      </w:tblGrid>
      <w:tr>
        <w:trPr>
          <w:trHeight w:val="567" w:hRule="atLeast"/>
        </w:trPr>
        <w:tc>
          <w:tcPr>
            <w:tcW w:w="985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</w:rPr>
            </w:pPr>
            <w:bookmarkStart w:id="0" w:name="_GoBack_Копия_2"/>
            <w:bookmarkEnd w:id="0"/>
            <w:r>
              <w:rPr/>
              <w:drawing>
                <wp:inline distT="0" distB="0" distL="0" distR="0">
                  <wp:extent cx="531495" cy="60579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05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67" w:hRule="atLeast"/>
        </w:trPr>
        <w:tc>
          <w:tcPr>
            <w:tcW w:w="985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  О  С  Т  А  Н  О  В  Л  Е  Н  И  Е</w:t>
            </w:r>
          </w:p>
        </w:tc>
      </w:tr>
    </w:tbl>
    <w:p>
      <w:pPr>
        <w:pStyle w:val="Normal"/>
        <w:suppressAutoHyphens w:val="true"/>
        <w:spacing w:lineRule="auto" w:line="21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Normal"/>
        <w:suppressAutoHyphens w:val="true"/>
        <w:spacing w:lineRule="auto" w:line="21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tbl>
      <w:tblPr>
        <w:tblW w:w="9930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291"/>
        <w:gridCol w:w="1346"/>
        <w:gridCol w:w="2563"/>
        <w:gridCol w:w="1253"/>
        <w:gridCol w:w="1477"/>
      </w:tblGrid>
      <w:tr>
        <w:trPr>
          <w:trHeight w:val="285" w:hRule="atLeast"/>
        </w:trPr>
        <w:tc>
          <w:tcPr>
            <w:tcW w:w="329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1346" w:type="dxa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63" w:type="dxa"/>
            <w:vMerge w:val="restart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253" w:type="dxa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7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false"/>
              <w:bidi w:val="0"/>
              <w:spacing w:before="0" w:after="0"/>
              <w:ind w:hanging="0" w:start="0" w:end="113"/>
              <w:jc w:val="start"/>
              <w:rPr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63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63" w:type="dxa"/>
            <w:vMerge w:val="continue"/>
            <w:tcBorders/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3" w:type="dxa"/>
            <w:tcBorders/>
            <w:shd w:color="auto" w:fill="auto" w:val="clear"/>
            <w:vAlign w:val="bottom"/>
          </w:tcPr>
          <w:p>
            <w:pPr>
              <w:pStyle w:val="Normal"/>
              <w:jc w:val="end"/>
              <w:rPr/>
            </w:pPr>
            <w:r>
              <w:rPr>
                <w:sz w:val="28"/>
              </w:rPr>
              <w:t>Экз №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1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BodyText"/>
        <w:overflowPunct w:val="false"/>
        <w:spacing w:lineRule="exact" w:line="322" w:before="64" w:after="140"/>
        <w:ind w:end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overflowPunct w:val="false"/>
        <w:spacing w:lineRule="exact" w:line="322" w:before="64" w:after="140"/>
        <w:ind w:end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отклонения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подведомственными учреждениями, функции и полномочия учредителя которых осуществляет Администрация муниципального образования «Город Новоульяновск» Ульяновской области</w:t>
      </w:r>
    </w:p>
    <w:p>
      <w:pPr>
        <w:pStyle w:val="BodyText"/>
        <w:overflowPunct w:val="false"/>
        <w:spacing w:lineRule="exact" w:line="322" w:before="64" w:after="140"/>
        <w:ind w:end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overflowPunct w:val="false"/>
        <w:spacing w:lineRule="auto" w:line="240" w:before="0" w:after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 xml:space="preserve">В соответствии с постановлением Администрации муниципального образования «Город Новоульяновск» Ульяновской области от 26 октября </w:t>
        <w:br/>
        <w:t>2015 года № 1194-П «Об утверждении Положения о формировании муниципального задания на оказание муниципальных услуг (выполнение работ) в отношении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подведомственных учреждений, функции и полномочия учредителя осуществляет Администрация муниципального образования «Город Новоульяновск» Ульяновской области</w:t>
      </w:r>
      <w:r>
        <w:rPr>
          <w:bCs/>
          <w:color w:val="000000"/>
          <w:sz w:val="28"/>
          <w:szCs w:val="28"/>
        </w:rPr>
        <w:t xml:space="preserve"> и финансовом обеспечении выполнения муниципального задания»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BodyText"/>
        <w:overflowPunct w:val="false"/>
        <w:spacing w:lineRule="auto" w:line="240" w:before="0" w:after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>
        <w:rPr>
          <w:bCs/>
          <w:color w:val="000000"/>
          <w:sz w:val="28"/>
          <w:szCs w:val="28"/>
        </w:rPr>
        <w:t xml:space="preserve">1. Утвердить прилагаемый </w:t>
      </w:r>
      <w:r>
        <w:rPr>
          <w:sz w:val="28"/>
          <w:szCs w:val="28"/>
        </w:rPr>
        <w:t>Порядок отклонения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подведомственными учреждениями, функции и полномочия учредителя которых осуществляет Администрация муниципального образования «Город Новоульяновск» Ульяновской области (Приложение).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 Настоящее постановление вступает в силу на следующий день после дня его официального опубликования.</w:t>
      </w:r>
    </w:p>
    <w:p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                                                                 С. А. Ильюшкин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567" w:footer="0" w:bottom="8"/>
          <w:pgNumType w:start="1" w:fmt="decimal"/>
          <w:formProt w:val="false"/>
          <w:textDirection w:val="lrTb"/>
          <w:docGrid w:type="default" w:linePitch="600" w:charSpace="0"/>
        </w:sectPr>
        <w:pStyle w:val="Normal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000459</w:t>
      </w:r>
    </w:p>
    <w:p>
      <w:pPr>
        <w:pStyle w:val="Normal"/>
        <w:jc w:val="e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>
      <w:pPr>
        <w:pStyle w:val="Normal"/>
        <w:jc w:val="e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e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УТВЕРЖДЕН</w:t>
      </w:r>
    </w:p>
    <w:p>
      <w:pPr>
        <w:pStyle w:val="Normal"/>
        <w:jc w:val="en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постановлением  Администрации</w:t>
      </w:r>
    </w:p>
    <w:p>
      <w:pPr>
        <w:pStyle w:val="Normal"/>
        <w:jc w:val="en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jc w:val="en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«Город Новоульяновск» </w:t>
      </w:r>
    </w:p>
    <w:p>
      <w:pPr>
        <w:pStyle w:val="Normal"/>
        <w:jc w:val="end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Ульяновской области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jc w:val="end"/>
        <w:rPr>
          <w:bCs/>
          <w:sz w:val="28"/>
          <w:szCs w:val="28"/>
        </w:rPr>
      </w:pPr>
      <w:r>
        <w:rPr>
          <w:bCs/>
          <w:sz w:val="28"/>
          <w:szCs w:val="28"/>
        </w:rPr>
        <w:t>от  15  июня  2026 года  № 459-П</w:t>
      </w:r>
    </w:p>
    <w:p>
      <w:pPr>
        <w:pStyle w:val="Normal"/>
        <w:jc w:val="en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отклонения и применения значений допустимых (возможных) </w:t>
        <w:br/>
        <w:t xml:space="preserve">отклонений от установленных в муниципальном задании значений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показателей качества и (или) объема оказания муниципальных услуг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(выполнения работ) подведомственными учреждениями,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функции и полномочия учредителя которых осуществляет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«Город Новоульяновск» Ульяновской области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1. Настоящий </w:t>
      </w:r>
      <w:r>
        <w:rPr>
          <w:sz w:val="28"/>
          <w:szCs w:val="28"/>
        </w:rPr>
        <w:t xml:space="preserve">Порядок отклонения и применения значений допустимых (возможных) отклонений от установленных в муниципальном задании значений показателей качества и (или) объема оказания муниципальных услуг (выполнения работ) подведомственными учреждениями, функции и полномочия учредителя которых осуществляет Администрация муниципального образования  «Город Новоульяновск» Ульяновской области </w:t>
      </w:r>
      <w:r>
        <w:rPr>
          <w:color w:val="000000"/>
          <w:sz w:val="28"/>
          <w:szCs w:val="28"/>
        </w:rPr>
        <w:t xml:space="preserve"> (далее – Порядок), разработан в соответствии с </w:t>
      </w:r>
      <w:r>
        <w:rPr>
          <w:bCs/>
          <w:color w:val="000000"/>
          <w:sz w:val="28"/>
          <w:szCs w:val="28"/>
        </w:rPr>
        <w:t xml:space="preserve">постановлением Администрации муниципального образования «Город Новоульяновск» Ульяновской области от 26 октября 2015 года </w:t>
        <w:br/>
        <w:t xml:space="preserve">№ 1194-П «Об утверждении Положения о формировании муниципального задания на оказание муниципальных услуг (выполнение работ) в отношении учреждений муниципального образования «Город Новоульяновск» Ульяновской области и финансовом обеспечении выполнения муниципального задания» </w:t>
      </w:r>
      <w:r>
        <w:rPr>
          <w:color w:val="000000"/>
          <w:sz w:val="28"/>
          <w:szCs w:val="28"/>
        </w:rPr>
        <w:t xml:space="preserve">и устанавливает правила определения и применения значений допустимых (возможных) отклонений от установленных в муниципальном задании муниципальных учреждений (далее – учреждения), функции </w:t>
        <w:br/>
        <w:t xml:space="preserve">и полномочия учредителя, в отношении которых осуществляет Администрация муниципального образования «Город Новоульяновск» (далее – учредитель), значений показателей качества </w:t>
      </w:r>
      <w:bookmarkStart w:id="1" w:name="_GoBack"/>
      <w:bookmarkEnd w:id="1"/>
      <w:r>
        <w:rPr>
          <w:color w:val="000000"/>
          <w:sz w:val="28"/>
          <w:szCs w:val="28"/>
        </w:rPr>
        <w:t xml:space="preserve">и (или) объема оказания муниципальных услуг (выполнения работ) при формировании муниципального задания  на оказание муниципальных услуг (выполнение работ) на очередной финансовый год и на плановый период (далее – муниципальное задание).  </w:t>
      </w:r>
    </w:p>
    <w:p>
      <w:pPr>
        <w:pStyle w:val="Normal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муниципальном задании устанавливаются допустимые (возможные) отклонения в процентах (абсолютных величинах) от установленных значений показателей качества и (или) объёма в отношении отдельной муниципальной услуги (работ) либо общее допустимое (возможное) отклонение – в отношении муниципального задания в целом или его части.</w:t>
      </w:r>
    </w:p>
    <w:p>
      <w:pPr>
        <w:pStyle w:val="Normal"/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bCs/>
          <w:color w:val="000000"/>
          <w:sz w:val="28"/>
          <w:szCs w:val="28"/>
        </w:rPr>
        <w:t xml:space="preserve">Под отклонением от установленных муниципальным заданием показателей объёма и (или) качества муниципальной услуги (работы) для целей настоящего Порядка понимается разница между значением показателя объёма </w:t>
        <w:br/>
        <w:t xml:space="preserve">и (или) качества муниципальной услуги (работы), утвержденного </w:t>
        <w:br/>
        <w:t xml:space="preserve">в муниципальном задании на отчётную дату, и значением показателя объёма </w:t>
        <w:br/>
        <w:t>и (или) качества муниципальной услуги (работы), исполненного на отчётную дату.</w:t>
      </w:r>
    </w:p>
    <w:p>
      <w:pPr>
        <w:pStyle w:val="Normal"/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 Под допустимым (возможным) отклонением для целей настоящего Порядка понимается отклонение достигнутого значения показателя объёма </w:t>
        <w:br/>
        <w:t>и (или) качества муниципальной услуги (работы) от установленных муниципальным заданием показателей качества (объёма) муниципальной услуги (работы), в пределах которого муниципальное задание считается выполненным.</w:t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>
        <w:rPr>
          <w:sz w:val="28"/>
          <w:szCs w:val="28"/>
        </w:rPr>
        <w:t xml:space="preserve">Значение показателя допустимого (возможного) отклонения устанавливается в процентах от установленного значения показателя качества </w:t>
        <w:br/>
        <w:t xml:space="preserve">и (или) объёма муниципальной услуги (работы) или в абсолютных величинах показателя объёма и (или) качества муниципальной услуги (работы). </w:t>
      </w:r>
    </w:p>
    <w:p>
      <w:pPr>
        <w:pStyle w:val="Normal"/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Значение показателя допустимого (возможного) отклонения не может превышать 5 процентов.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допустимого (возможного) отклонения рассчитывается путём умножения значения показателя объёма и (или) качества муниципальной услуги (работы), установленного в муниципальном задании, на установленное </w:t>
        <w:br/>
        <w:t xml:space="preserve">в муниципальном задании значение допустимого (возможного) отклонения </w:t>
        <w:br/>
        <w:t xml:space="preserve">от установленных показателей объёма (качества) муниципальной услуги (работы), в пределах которого муниципальное задание считается выполненным (в процентах), при установлении допустимого (возможного) отклонения </w:t>
        <w:br/>
        <w:t xml:space="preserve">от установленных показателей объёма (качества) муниципальной услуги (работы) в абсолютных величинах заполняется в соответствии  </w:t>
        <w:br/>
        <w:t>с муниципальным заданием.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Значение допустимого (возможного) отклонения указывается в единицах измерения показателя, установленного в муниципальном задании, в целых единицах.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допустимого (возможного) отклонения менее 0,5 единицы </w:t>
        <w:br/>
        <w:t xml:space="preserve">не учитывается, а значение допустимого (возможного) отклонения, равное </w:t>
        <w:br/>
        <w:t>0,5 единицы и более, округляется до целого числа.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Значение допустимого (возможного) отклонения устанавливается учредителем при формировании (изменении) муниципального задания </w:t>
        <w:br/>
        <w:t>и применяется при оценке достижения учреждением плановых показателей, установленных муниципальным заданием.</w:t>
      </w:r>
    </w:p>
    <w:p>
      <w:pPr>
        <w:pStyle w:val="Normal"/>
        <w:widowControl w:val="fals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В случае если единицей объёма работы является работа в целом, показатель допустимого (возможного) отклонения не указывается.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567"/>
      <w:pgNumType w:start="1"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start="0" w:end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04f7"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basedOn w:val="Style17"/>
    <w:next w:val="BodyText"/>
    <w:qFormat/>
    <w:pPr>
      <w:tabs>
        <w:tab w:val="clear" w:pos="708"/>
        <w:tab w:val="left" w:pos="0" w:leader="none"/>
      </w:tabs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uiPriority w:val="99"/>
    <w:semiHidden/>
    <w:qFormat/>
    <w:rsid w:val="00c726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55ea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55ea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81090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WW8Num10z0" w:customStyle="1">
    <w:name w:val="WW8Num10z0"/>
    <w:qFormat/>
    <w:rPr>
      <w:rFonts w:ascii="Times New Roman" w:hAnsi="Times New Roman" w:eastAsia="Times New Roman" w:cs="Times New Roman"/>
    </w:rPr>
  </w:style>
  <w:style w:type="character" w:styleId="ConsPlusNormal" w:customStyle="1">
    <w:name w:val="ConsPlusNormal Знак"/>
    <w:link w:val="ConsPlusNormal1"/>
    <w:qFormat/>
    <w:locked/>
    <w:rsid w:val="009a1a37"/>
    <w:rPr>
      <w:rFonts w:ascii="Arial" w:hAnsi="Arial" w:eastAsia="Times New Roman" w:cs="Arial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c61bcb"/>
    <w:rPr>
      <w:b/>
      <w:bCs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72698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13"/>
    <w:uiPriority w:val="99"/>
    <w:semiHidden/>
    <w:unhideWhenUsed/>
    <w:rsid w:val="00c72698"/>
    <w:pPr/>
    <w:rPr>
      <w:sz w:val="20"/>
      <w:szCs w:val="20"/>
    </w:rPr>
  </w:style>
  <w:style w:type="paragraph" w:styleId="Style19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55e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455e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81090"/>
    <w:pPr/>
    <w:rPr>
      <w:rFonts w:ascii="Tahoma" w:hAnsi="Tahoma" w:cs="Tahoma"/>
      <w:sz w:val="16"/>
      <w:szCs w:val="16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4e3ad0"/>
    <w:pPr>
      <w:spacing w:before="0" w:after="0"/>
      <w:ind w:start="720"/>
      <w:contextualSpacing/>
    </w:pPr>
    <w:rPr/>
  </w:style>
  <w:style w:type="paragraph" w:styleId="formattext" w:customStyle="1">
    <w:name w:val="formattext"/>
    <w:basedOn w:val="Normal"/>
    <w:qFormat/>
    <w:rsid w:val="00e25bc7"/>
    <w:pPr>
      <w:spacing w:beforeAutospacing="1" w:afterAutospacing="1"/>
    </w:pPr>
    <w:rPr/>
  </w:style>
  <w:style w:type="numbering" w:styleId="user3" w:default="1">
    <w:name w:val="Без списка (user)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3"/>
    <w:uiPriority w:val="59"/>
    <w:rsid w:val="00c7269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6240-2131-476A-8EF8-A83657E2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LibreOffice/25.8.1.1$Windows_X86_64 LibreOffice_project/54047653041915e595ad4e45cccea684809c77b5</Application>
  <AppVersion>15.0000</AppVersion>
  <Pages>4</Pages>
  <Words>727</Words>
  <Characters>5737</Characters>
  <CharactersWithSpaces>6800</CharactersWithSpaces>
  <Paragraphs>39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2026-04-09T04:10:00Z</dcterms:created>
  <dc:creator>Халаим Андрей Анисимович</dc:creator>
  <dc:description/>
  <dc:language>ru-RU</dc:language>
  <cp:lastModifiedBy/>
  <cp:lastPrinted>2026-06-15T11:32:08Z</cp:lastPrinted>
  <dcterms:modified xsi:type="dcterms:W3CDTF">2026-07-23T14:53:30Z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